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10" w:lineRule="exact"/>
        <w:rPr>
          <w:color w:val="auto"/>
          <w:sz w:val="24"/>
          <w:szCs w:val="24"/>
        </w:rPr>
      </w:pPr>
      <w:bookmarkStart w:id="0" w:name="page1"/>
      <w:bookmarkEnd w:id="0"/>
    </w:p>
    <w:p>
      <w:pPr>
        <w:spacing w:after="0" w:line="548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48"/>
          <w:szCs w:val="48"/>
          <w:highlight w:val="none"/>
        </w:rPr>
        <w:t>编号：57013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81" w:lineRule="exact"/>
        <w:rPr>
          <w:color w:val="auto"/>
          <w:sz w:val="24"/>
          <w:szCs w:val="24"/>
          <w:highlight w:val="none"/>
        </w:rPr>
      </w:pPr>
    </w:p>
    <w:p>
      <w:pPr>
        <w:spacing w:after="0" w:line="799" w:lineRule="exact"/>
        <w:ind w:left="360" w:right="4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“银行、农村信用社、兑换机构及非金融机构等结汇、售汇业务市场准入、退出审批”行政审批</w:t>
      </w:r>
    </w:p>
    <w:p>
      <w:pPr>
        <w:spacing w:after="0" w:line="348" w:lineRule="exact"/>
        <w:rPr>
          <w:color w:val="auto"/>
          <w:sz w:val="24"/>
          <w:szCs w:val="24"/>
          <w:highlight w:val="none"/>
        </w:rPr>
      </w:pPr>
    </w:p>
    <w:p>
      <w:pPr>
        <w:spacing w:after="0" w:line="594" w:lineRule="exact"/>
        <w:ind w:right="300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52"/>
          <w:szCs w:val="52"/>
          <w:highlight w:val="none"/>
        </w:rPr>
        <w:t>服务指南</w:t>
      </w: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00" w:lineRule="exact"/>
        <w:rPr>
          <w:color w:val="auto"/>
          <w:sz w:val="24"/>
          <w:szCs w:val="24"/>
          <w:highlight w:val="none"/>
        </w:rPr>
      </w:pPr>
    </w:p>
    <w:p>
      <w:pPr>
        <w:spacing w:after="0" w:line="261" w:lineRule="exact"/>
        <w:rPr>
          <w:color w:val="auto"/>
          <w:sz w:val="24"/>
          <w:szCs w:val="24"/>
          <w:highlight w:val="none"/>
        </w:rPr>
      </w:pP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</w:p>
    <w:p>
      <w:pPr>
        <w:spacing w:after="0" w:line="518" w:lineRule="exact"/>
        <w:ind w:left="1820" w:right="1740"/>
        <w:jc w:val="center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实施日期：20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21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 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29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日</w:t>
      </w:r>
      <w:bookmarkStart w:id="9" w:name="_GoBack"/>
      <w:bookmarkEnd w:id="9"/>
    </w:p>
    <w:p>
      <w:pPr>
        <w:spacing w:after="0" w:line="518" w:lineRule="exact"/>
        <w:ind w:left="1820" w:right="1740"/>
        <w:jc w:val="center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发布机构：国家外汇管理局江西省分局</w:t>
      </w:r>
    </w:p>
    <w:p>
      <w:pPr>
        <w:rPr>
          <w:highlight w:val="none"/>
        </w:rPr>
        <w:sectPr>
          <w:footerReference r:id="rId4" w:type="default"/>
          <w:pgSz w:w="12240" w:h="15840"/>
          <w:pgMar w:top="1440" w:right="1440" w:bottom="1440" w:left="1440" w:header="0" w:footer="0" w:gutter="0"/>
          <w:cols w:space="720" w:num="1"/>
        </w:sectPr>
      </w:pPr>
    </w:p>
    <w:p>
      <w:pPr>
        <w:spacing w:after="0" w:line="125" w:lineRule="exact"/>
        <w:rPr>
          <w:color w:val="auto"/>
          <w:sz w:val="20"/>
          <w:szCs w:val="20"/>
          <w:highlight w:val="none"/>
        </w:rPr>
      </w:pPr>
      <w:bookmarkStart w:id="1" w:name="page2"/>
      <w:bookmarkEnd w:id="1"/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一、项目信息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项目名称：银行、农村信用社、兑换机构及非金融机构等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结汇、售汇业务市场准入、退出审批；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项目编号：57013；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审批类别：行政许可。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二、适用范围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本指南适用于“银行、农村信用社、兑换机构及非金融机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构结汇、售汇业务市场准入、退出审批”的申请和办理。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三、设定依据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（一）《中华人民共和国外汇管理条例》（国务院令第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号）第二十四条：“金融机构经营或者终止经营结汇、售汇业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务，应当经外汇管理机关批准；经营或者终止经营其他外汇业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务，应当按照职责分工经外汇管理机关或者金融业监督管理机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构批准”；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（二）《中华人民共和国外汇管理条例》（国务院令第 532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号）第五十三条：“非金融机构经营结汇、售汇业务，应当由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国务院外汇管理部门批准，具体管理办法由国务院外汇管理部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门另行制定”。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四、个人本外币兑换特许业务市场准入审批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（一）办理依据</w:t>
      </w:r>
    </w:p>
    <w:p>
      <w:pPr>
        <w:spacing w:after="0" w:line="307" w:lineRule="exact"/>
        <w:rPr>
          <w:color w:val="auto"/>
          <w:sz w:val="20"/>
          <w:szCs w:val="20"/>
          <w:highlight w:val="none"/>
        </w:rPr>
      </w:pPr>
    </w:p>
    <w:p>
      <w:pPr>
        <w:spacing w:after="0" w:line="320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1.《中华人民共和国外汇管理条例》（国务院令第 532 号）；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numPr>
          <w:ilvl w:val="0"/>
          <w:numId w:val="1"/>
        </w:numPr>
        <w:spacing w:after="0" w:line="343" w:lineRule="exact"/>
        <w:ind w:left="360" w:firstLine="58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《国家外汇管理局关于修订〈个人本外币兑换特许业务试点管</w:t>
      </w:r>
    </w:p>
    <w:p>
      <w:pPr>
        <w:spacing w:after="0" w:line="343" w:lineRule="exact"/>
        <w:ind w:left="360" w:firstLine="580" w:firstLineChars="200"/>
        <w:rPr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理办法〉的通知》（汇发〔2020〕6 号）</w:t>
      </w:r>
      <w:r>
        <w:rPr>
          <w:rFonts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（二）受理机构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国家外汇管理局江西省分局。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（三）决定机构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国家外汇管理局及国家外汇管理局江西省分局。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（四）审批数量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无数量限制。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（五）办事条件</w:t>
      </w:r>
    </w:p>
    <w:p>
      <w:pPr>
        <w:spacing w:after="0" w:line="364" w:lineRule="exact"/>
        <w:ind w:firstLine="1200" w:firstLineChars="400"/>
        <w:rPr>
          <w:color w:val="auto"/>
          <w:sz w:val="20"/>
          <w:szCs w:val="20"/>
          <w:highlight w:val="none"/>
        </w:rPr>
      </w:pPr>
      <w:r>
        <w:rPr>
          <w:rFonts w:ascii="Arial" w:hAnsi="Arial" w:eastAsia="Arial" w:cs="Arial"/>
          <w:color w:val="auto"/>
          <w:sz w:val="30"/>
          <w:szCs w:val="30"/>
          <w:highlight w:val="none"/>
        </w:rPr>
        <w:t>1.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申请人条件</w:t>
      </w:r>
    </w:p>
    <w:p>
      <w:pPr>
        <w:spacing w:after="0" w:line="260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（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>1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）境内非金融机构拟在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江西省分局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辖内经营个人兑</w:t>
      </w:r>
    </w:p>
    <w:p>
      <w:pPr>
        <w:spacing w:after="0" w:line="33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换业务，应具备以下条件：</w:t>
      </w:r>
    </w:p>
    <w:p>
      <w:pPr>
        <w:spacing w:after="0" w:line="21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①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具有独立法人资格，且资信状况良好。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②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拥有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10%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（含）以上的股权或控制权的机构与自然人，</w:t>
      </w:r>
    </w:p>
    <w:p>
      <w:pPr>
        <w:spacing w:after="0" w:line="33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以及主要受益所有人的资信状况良好，且无犯罪记录。</w:t>
      </w:r>
    </w:p>
    <w:p>
      <w:pPr>
        <w:spacing w:after="0" w:line="21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③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主要管理人员、业务人员资信状况良好，无犯罪记录，具</w:t>
      </w:r>
    </w:p>
    <w:p>
      <w:pPr>
        <w:spacing w:after="0" w:line="35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有相关业务工作经验，熟悉个人外汇业务管理政策。</w:t>
      </w:r>
    </w:p>
    <w:p>
      <w:pPr>
        <w:spacing w:after="0" w:line="210" w:lineRule="exact"/>
        <w:rPr>
          <w:color w:val="auto"/>
          <w:sz w:val="20"/>
          <w:szCs w:val="20"/>
          <w:highlight w:val="none"/>
        </w:rPr>
      </w:pPr>
    </w:p>
    <w:p>
      <w:pPr>
        <w:spacing w:after="0" w:line="566" w:lineRule="exact"/>
        <w:ind w:left="360" w:right="366" w:firstLine="60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29"/>
          <w:szCs w:val="29"/>
          <w:highlight w:val="none"/>
        </w:rPr>
        <w:t>④</w:t>
      </w:r>
      <w:r>
        <w:rPr>
          <w:rFonts w:ascii="仿宋_GB2312" w:hAnsi="仿宋_GB2312" w:eastAsia="仿宋_GB2312" w:cs="仿宋_GB2312"/>
          <w:color w:val="auto"/>
          <w:sz w:val="29"/>
          <w:szCs w:val="29"/>
          <w:highlight w:val="none"/>
        </w:rPr>
        <w:t>经营外币代兑业务</w:t>
      </w:r>
      <w:r>
        <w:rPr>
          <w:rFonts w:ascii="Arial" w:hAnsi="Arial" w:eastAsia="Arial" w:cs="Arial"/>
          <w:color w:val="auto"/>
          <w:sz w:val="29"/>
          <w:szCs w:val="29"/>
          <w:highlight w:val="none"/>
        </w:rPr>
        <w:t xml:space="preserve"> 6 </w:t>
      </w:r>
      <w:r>
        <w:rPr>
          <w:rFonts w:ascii="仿宋_GB2312" w:hAnsi="仿宋_GB2312" w:eastAsia="仿宋_GB2312" w:cs="仿宋_GB2312"/>
          <w:color w:val="auto"/>
          <w:sz w:val="29"/>
          <w:szCs w:val="29"/>
          <w:highlight w:val="none"/>
        </w:rPr>
        <w:t>个月以上，期间经营状况良好，未被外汇局和其他监管机构处罚；在申请资格前</w:t>
      </w:r>
      <w:r>
        <w:rPr>
          <w:rFonts w:ascii="Arial" w:hAnsi="Arial" w:eastAsia="Arial" w:cs="Arial"/>
          <w:color w:val="auto"/>
          <w:sz w:val="29"/>
          <w:szCs w:val="29"/>
          <w:highlight w:val="none"/>
        </w:rPr>
        <w:t xml:space="preserve"> 6 </w:t>
      </w:r>
      <w:r>
        <w:rPr>
          <w:rFonts w:ascii="仿宋_GB2312" w:hAnsi="仿宋_GB2312" w:eastAsia="仿宋_GB2312" w:cs="仿宋_GB2312"/>
          <w:color w:val="auto"/>
          <w:sz w:val="29"/>
          <w:szCs w:val="29"/>
          <w:highlight w:val="none"/>
        </w:rPr>
        <w:t>个月内，办理代兑</w:t>
      </w:r>
    </w:p>
    <w:p>
      <w:pPr>
        <w:rPr>
          <w:highlight w:val="none"/>
        </w:rPr>
        <w:sectPr>
          <w:pgSz w:w="11900" w:h="16838"/>
          <w:pgMar w:top="1440" w:right="1440" w:bottom="694" w:left="1440" w:header="0" w:footer="0" w:gutter="0"/>
          <w:cols w:space="720" w:num="1"/>
        </w:sectPr>
      </w:pPr>
    </w:p>
    <w:p>
      <w:pPr>
        <w:spacing w:after="0" w:line="273" w:lineRule="exact"/>
        <w:rPr>
          <w:color w:val="auto"/>
          <w:sz w:val="20"/>
          <w:szCs w:val="20"/>
          <w:highlight w:val="none"/>
        </w:rPr>
      </w:pPr>
    </w:p>
    <w:p>
      <w:pPr>
        <w:spacing w:after="0" w:line="49" w:lineRule="exact"/>
        <w:rPr>
          <w:color w:val="auto"/>
          <w:sz w:val="20"/>
          <w:szCs w:val="20"/>
          <w:highlight w:val="none"/>
        </w:rPr>
      </w:pPr>
      <w:bookmarkStart w:id="2" w:name="page40"/>
      <w:bookmarkEnd w:id="2"/>
    </w:p>
    <w:p>
      <w:pPr>
        <w:spacing w:after="0" w:line="364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业务不少于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2000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笔，且兑换金额不少于等值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100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万美元。</w:t>
      </w:r>
    </w:p>
    <w:p>
      <w:pPr>
        <w:spacing w:after="0" w:line="26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⑤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具有适合经营的固定场所及设施，完善的业务管理制度及</w:t>
      </w:r>
    </w:p>
    <w:p>
      <w:pPr>
        <w:spacing w:after="0" w:line="35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兑换业务操作系统，该操作系统需使用接口模式接入个人外汇系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统。</w:t>
      </w:r>
    </w:p>
    <w:p>
      <w:pPr>
        <w:spacing w:after="0" w:line="21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⑥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承诺办理个人兑换业务量和兑换笔数不少于市场准入最</w:t>
      </w:r>
    </w:p>
    <w:p>
      <w:pPr>
        <w:spacing w:after="0" w:line="35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低标准。</w:t>
      </w:r>
    </w:p>
    <w:p>
      <w:pPr>
        <w:spacing w:after="0" w:line="212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（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>2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）境内非金融机构拟在全国范围内经营个人兑换业务，</w:t>
      </w:r>
    </w:p>
    <w:p>
      <w:pPr>
        <w:spacing w:after="0" w:line="33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应具备以下条件：</w:t>
      </w:r>
    </w:p>
    <w:p>
      <w:pPr>
        <w:spacing w:after="0" w:line="326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①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取得在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江西省分局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辖内经营个人兑换业务资格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2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年以</w:t>
      </w:r>
    </w:p>
    <w:p>
      <w:pPr>
        <w:spacing w:after="0" w:line="145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上，且拥有不少于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5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家获准经营个人兑换业务的分支机构。</w:t>
      </w:r>
    </w:p>
    <w:p>
      <w:pPr>
        <w:spacing w:after="0" w:line="260" w:lineRule="exact"/>
        <w:rPr>
          <w:color w:val="auto"/>
          <w:sz w:val="20"/>
          <w:szCs w:val="20"/>
          <w:highlight w:val="none"/>
        </w:rPr>
      </w:pPr>
    </w:p>
    <w:p>
      <w:pPr>
        <w:spacing w:after="0" w:line="585" w:lineRule="exact"/>
        <w:ind w:left="360" w:right="346" w:firstLine="600"/>
        <w:jc w:val="both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②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自身及所辖兑换特许机构近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2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年内经营状况良好，未被外汇局和其他监管机构处罚，在申请之日前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12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个月内办理个人兑换业务金额不少于等值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2000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万美元。</w:t>
      </w:r>
    </w:p>
    <w:p>
      <w:pPr>
        <w:spacing w:after="0" w:line="118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③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具备统一会计核算，集中管理营运资金、备付金，及时准</w:t>
      </w:r>
    </w:p>
    <w:p>
      <w:pPr>
        <w:spacing w:after="0" w:line="36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29"/>
          <w:szCs w:val="29"/>
          <w:highlight w:val="none"/>
        </w:rPr>
        <w:t>确报送数据等能力，能实时监控所辖兑换特许机构业务办理情况。</w:t>
      </w:r>
    </w:p>
    <w:p>
      <w:pPr>
        <w:spacing w:after="0" w:line="21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④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承诺办理个人兑换业务量不少于市场准入最低标准。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（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>3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）兑换特许机构分支机构申请开办兑换特许业务，应具</w:t>
      </w:r>
    </w:p>
    <w:p>
      <w:pPr>
        <w:spacing w:after="0" w:line="33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备以下条件：</w:t>
      </w:r>
    </w:p>
    <w:p>
      <w:pPr>
        <w:spacing w:after="0" w:line="21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①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总部具有经营个人兑换业务资格。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②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主要管理人员、业务人员资信状况良好，无犯罪记录，具</w:t>
      </w:r>
    </w:p>
    <w:p>
      <w:pPr>
        <w:spacing w:after="0" w:line="35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有相关业务工作经验，熟悉个人外汇业务管理政策。</w:t>
      </w:r>
    </w:p>
    <w:p>
      <w:pPr>
        <w:spacing w:after="0" w:line="327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③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总部及所辖兑换特许机构近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2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年内经营状况良好，且未被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94" w:left="1440" w:header="0" w:footer="0" w:gutter="0"/>
          <w:cols w:space="720" w:num="1"/>
        </w:sectPr>
      </w:pPr>
    </w:p>
    <w:p>
      <w:pPr>
        <w:spacing w:after="0" w:line="300" w:lineRule="exact"/>
        <w:rPr>
          <w:color w:val="auto"/>
          <w:sz w:val="20"/>
          <w:szCs w:val="20"/>
          <w:highlight w:val="none"/>
        </w:rPr>
      </w:pPr>
    </w:p>
    <w:p>
      <w:pPr>
        <w:spacing w:after="0" w:line="119" w:lineRule="exact"/>
        <w:rPr>
          <w:color w:val="auto"/>
          <w:sz w:val="20"/>
          <w:szCs w:val="20"/>
          <w:highlight w:val="none"/>
        </w:rPr>
      </w:pPr>
      <w:bookmarkStart w:id="3" w:name="page41"/>
      <w:bookmarkEnd w:id="3"/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外汇局和其他监管机构处罚。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30"/>
          <w:szCs w:val="30"/>
          <w:highlight w:val="none"/>
        </w:rPr>
        <w:t>④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具有适合经营的固定场所及设施，完善的业务管理制度及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兑换业务操作系统，该操作系统需使用接口模式接入个人外汇系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统</w:t>
      </w:r>
    </w:p>
    <w:p>
      <w:pPr>
        <w:spacing w:after="0" w:line="212" w:lineRule="exact"/>
        <w:rPr>
          <w:color w:val="auto"/>
          <w:sz w:val="20"/>
          <w:szCs w:val="20"/>
          <w:highlight w:val="none"/>
        </w:rPr>
      </w:pPr>
    </w:p>
    <w:p>
      <w:pPr>
        <w:spacing w:after="0" w:line="518" w:lineRule="exact"/>
        <w:ind w:left="360" w:right="366" w:firstLine="595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（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>4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）境内非金融机构拟经营批发调钞业务，应具备以下条件：</w:t>
      </w:r>
    </w:p>
    <w:p>
      <w:pPr>
        <w:spacing w:after="0" w:line="213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①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取得在全国范围内经营个人兑换业务资格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2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年以上。</w:t>
      </w:r>
    </w:p>
    <w:p>
      <w:pPr>
        <w:spacing w:after="0" w:line="260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②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所辖兑换特许机构在不少于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3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个外汇分局辖内经营个人</w:t>
      </w:r>
    </w:p>
    <w:p>
      <w:pPr>
        <w:spacing w:after="0" w:line="33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兑换业务。</w:t>
      </w:r>
    </w:p>
    <w:p>
      <w:pPr>
        <w:spacing w:after="0" w:line="210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③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自身及所辖兑换特许机构近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2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年内经营状况良好，且未被</w:t>
      </w:r>
    </w:p>
    <w:p>
      <w:pPr>
        <w:spacing w:after="0" w:line="260" w:lineRule="exact"/>
        <w:rPr>
          <w:color w:val="auto"/>
          <w:sz w:val="20"/>
          <w:szCs w:val="20"/>
          <w:highlight w:val="none"/>
        </w:rPr>
      </w:pPr>
    </w:p>
    <w:p>
      <w:pPr>
        <w:spacing w:after="0" w:line="566" w:lineRule="exact"/>
        <w:ind w:left="360" w:right="366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外汇局和其他监管机构处罚，在申请之日前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12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个月内办理个人兑换业务金额不少于等值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4000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万美元。</w:t>
      </w:r>
    </w:p>
    <w:p>
      <w:pPr>
        <w:spacing w:after="0" w:line="118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29"/>
          <w:szCs w:val="29"/>
          <w:highlight w:val="none"/>
        </w:rPr>
        <w:t>④</w:t>
      </w:r>
      <w:r>
        <w:rPr>
          <w:rFonts w:ascii="仿宋_GB2312" w:hAnsi="仿宋_GB2312" w:eastAsia="仿宋_GB2312" w:cs="仿宋_GB2312"/>
          <w:color w:val="auto"/>
          <w:sz w:val="29"/>
          <w:szCs w:val="29"/>
          <w:highlight w:val="none"/>
        </w:rPr>
        <w:t>具有适合经营批发调钞业务的设施、办理系统及管理制度。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9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MS PGothic" w:hAnsi="MS PGothic" w:eastAsia="MS PGothic" w:cs="MS PGothic"/>
          <w:color w:val="auto"/>
          <w:sz w:val="30"/>
          <w:szCs w:val="30"/>
          <w:highlight w:val="none"/>
        </w:rPr>
        <w:t>⑤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承诺办理个人兑换业务量不少于市场准入最低标准。</w:t>
      </w:r>
    </w:p>
    <w:p>
      <w:pPr>
        <w:spacing w:after="0" w:line="166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Arial" w:hAnsi="Arial" w:eastAsia="Arial" w:cs="Arial"/>
          <w:color w:val="auto"/>
          <w:sz w:val="30"/>
          <w:szCs w:val="30"/>
          <w:highlight w:val="none"/>
        </w:rPr>
        <w:t>2.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符合上述条件的，准予批准。</w:t>
      </w:r>
    </w:p>
    <w:p>
      <w:pPr>
        <w:spacing w:after="0" w:line="311" w:lineRule="exact"/>
        <w:rPr>
          <w:color w:val="auto"/>
          <w:sz w:val="20"/>
          <w:szCs w:val="20"/>
          <w:highlight w:val="none"/>
        </w:rPr>
      </w:pPr>
    </w:p>
    <w:p>
      <w:pPr>
        <w:numPr>
          <w:ilvl w:val="0"/>
          <w:numId w:val="2"/>
        </w:numPr>
        <w:tabs>
          <w:tab w:val="left" w:pos="1400"/>
        </w:tabs>
        <w:spacing w:after="0" w:line="364" w:lineRule="exact"/>
        <w:ind w:left="1400" w:hanging="445"/>
        <w:rPr>
          <w:rFonts w:ascii="Arial" w:hAnsi="Arial" w:eastAsia="Arial" w:cs="Arial"/>
          <w:color w:val="auto"/>
          <w:sz w:val="30"/>
          <w:szCs w:val="3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境内非金融机构及其分支机构申请兑换特许业务，有如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下情形之一的，不予批准：</w:t>
      </w:r>
    </w:p>
    <w:p>
      <w:pPr>
        <w:spacing w:after="0" w:line="212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（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>1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）提供不实材料未获批准的，自收到不予批准决定之日</w:t>
      </w:r>
    </w:p>
    <w:p>
      <w:pPr>
        <w:spacing w:after="0" w:line="260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起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1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年内不得再次申请。。</w:t>
      </w:r>
    </w:p>
    <w:p>
      <w:pPr>
        <w:spacing w:after="0" w:line="260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（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>2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）在筹备期截止后未达到开办条件的，自筹备期届满之</w:t>
      </w:r>
    </w:p>
    <w:p>
      <w:pPr>
        <w:spacing w:after="0" w:line="260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日起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1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年内不得再次申请。</w:t>
      </w:r>
    </w:p>
    <w:p>
      <w:pPr>
        <w:spacing w:after="0" w:line="260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（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>3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）兑换特许业务经营资格被撤销的，自撤销之日起</w:t>
      </w:r>
      <w:r>
        <w:rPr>
          <w:rFonts w:ascii="Arial" w:hAnsi="Arial" w:eastAsia="Arial" w:cs="Arial"/>
          <w:color w:val="auto"/>
          <w:sz w:val="30"/>
          <w:szCs w:val="30"/>
          <w:highlight w:val="none"/>
        </w:rPr>
        <w:t xml:space="preserve"> 3 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年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94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15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bookmarkStart w:id="4" w:name="page42"/>
      <w:bookmarkEnd w:id="4"/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内不得再次申请。</w:t>
      </w:r>
    </w:p>
    <w:p>
      <w:pPr>
        <w:spacing w:after="0" w:line="288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（六）申请材料</w:t>
      </w:r>
    </w:p>
    <w:p>
      <w:pPr>
        <w:spacing w:after="0" w:line="206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Arial" w:hAnsi="Arial" w:eastAsia="Arial" w:cs="Arial"/>
          <w:color w:val="auto"/>
          <w:sz w:val="30"/>
          <w:szCs w:val="30"/>
          <w:highlight w:val="none"/>
        </w:rPr>
        <w:t>1.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申请在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江西省分局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辖内经营个人兑换业务进入筹备期所需</w:t>
      </w:r>
    </w:p>
    <w:p>
      <w:pPr>
        <w:spacing w:after="0" w:line="33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材料</w:t>
      </w:r>
    </w:p>
    <w:p>
      <w:pPr>
        <w:spacing w:after="0" w:line="143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40" w:type="dxa"/>
        <w:tblInd w:w="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3680"/>
        <w:gridCol w:w="1000"/>
        <w:gridCol w:w="700"/>
        <w:gridCol w:w="1000"/>
        <w:gridCol w:w="720"/>
        <w:gridCol w:w="70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</w:t>
            </w:r>
          </w:p>
        </w:tc>
        <w:tc>
          <w:tcPr>
            <w:tcW w:w="368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原件</w:t>
            </w:r>
            <w:r>
              <w:rPr>
                <w:rFonts w:ascii="Arial" w:hAnsi="Arial" w:eastAsia="Arial" w:cs="Arial"/>
                <w:b/>
                <w:bCs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纸质</w:t>
            </w:r>
            <w:r>
              <w:rPr>
                <w:rFonts w:ascii="Arial" w:hAnsi="Arial" w:eastAsia="Arial" w:cs="Arial"/>
                <w:b/>
                <w:bCs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申请报告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拥有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10%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（含）以上的股权或控制权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的机构与自然人，以及主要受益所有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人的资信状况良好，且无犯罪记录的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说明材料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主要管理人员、业务人员资信状况良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好，无犯罪记录，具有相关业务工作经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验，熟悉个人外汇业务管理政策的说明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材料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经营外币代兑业务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6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个月以上，在申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请前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6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个月内办理代兑业务达到业务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准入最低兑换笔数和兑换金额标准的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证明材料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经营代兑业务期间未被外汇局和其他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监管机构处罚的声明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205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Arial" w:hAnsi="Arial" w:eastAsia="Arial" w:cs="Arial"/>
          <w:color w:val="auto"/>
          <w:sz w:val="30"/>
          <w:szCs w:val="30"/>
          <w:highlight w:val="none"/>
        </w:rPr>
        <w:t>2.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申请在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highlight w:val="none"/>
          <w:lang w:eastAsia="zh-CN"/>
        </w:rPr>
        <w:t>江西省分局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辖内开办个人兑换业务所需材料</w:t>
      </w:r>
    </w:p>
    <w:p>
      <w:pPr>
        <w:spacing w:after="0" w:line="192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40" w:type="dxa"/>
        <w:tblInd w:w="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3680"/>
        <w:gridCol w:w="1000"/>
        <w:gridCol w:w="700"/>
        <w:gridCol w:w="1000"/>
        <w:gridCol w:w="720"/>
        <w:gridCol w:w="70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</w:t>
            </w:r>
          </w:p>
        </w:tc>
        <w:tc>
          <w:tcPr>
            <w:tcW w:w="368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原件</w:t>
            </w:r>
            <w:r>
              <w:rPr>
                <w:rFonts w:ascii="Arial" w:hAnsi="Arial" w:eastAsia="Arial" w:cs="Arial"/>
                <w:b/>
                <w:bCs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纸质</w:t>
            </w:r>
            <w:r>
              <w:rPr>
                <w:rFonts w:ascii="Arial" w:hAnsi="Arial" w:eastAsia="Arial" w:cs="Arial"/>
                <w:b/>
                <w:bCs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申请报告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适合经营兑换特许业务的场所及其他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设施的说明材料，内容包括但不限于：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营业场所所有权或使用权的证明材料，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4"/>
                <w:sz w:val="21"/>
                <w:szCs w:val="21"/>
                <w:highlight w:val="none"/>
              </w:rPr>
              <w:t>电脑硬件、数据库设备情况，能够实时、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完整监测与记录兑换特许业务经营活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动的高清录像设备情况，审核境内个人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客户有效身份证件的设备情况，以醒目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中英文双语展示兑换币种和牌价的设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备情况等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兑换业务操作系统说明材料，内容包括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2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但不限于：实时办理兑换业务、备付金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2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694" w:left="1440" w:header="0" w:footer="0" w:gutter="0"/>
          <w:cols w:space="720" w:num="1"/>
        </w:sectPr>
      </w:pPr>
    </w:p>
    <w:p>
      <w:pPr>
        <w:spacing w:after="0" w:line="42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40" w:type="dxa"/>
        <w:tblInd w:w="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3680"/>
        <w:gridCol w:w="1000"/>
        <w:gridCol w:w="700"/>
        <w:gridCol w:w="1000"/>
        <w:gridCol w:w="720"/>
        <w:gridCol w:w="70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管理、会计核算、汇总统计、存储记录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交易等功能情况，以及遵照个人结售汇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相关规定对超限额及分拆等行为予以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风险提示的功能情况等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业务管理制度，内容包括但不限于：业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务操作规程，外币兑换牌价管理、备付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金管理、现钞管理、会计核算、统计报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告、风险及相关内控管理、凭证和档案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印章管理等制度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兑换业务操作系统满足以接口模式接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入个人外汇系统技术条件的证明材料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《个人本外币兑换特许业务经营承诺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书》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206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Arial" w:hAnsi="Arial" w:eastAsia="Arial" w:cs="Arial"/>
          <w:color w:val="auto"/>
          <w:sz w:val="30"/>
          <w:szCs w:val="30"/>
          <w:highlight w:val="none"/>
        </w:rPr>
        <w:t>3.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申请在全国范围内开办个人兑换业务所需材料</w:t>
      </w:r>
    </w:p>
    <w:p>
      <w:pPr>
        <w:spacing w:after="0" w:line="191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40" w:type="dxa"/>
        <w:tblInd w:w="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3680"/>
        <w:gridCol w:w="1000"/>
        <w:gridCol w:w="700"/>
        <w:gridCol w:w="1000"/>
        <w:gridCol w:w="720"/>
        <w:gridCol w:w="70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</w:t>
            </w:r>
          </w:p>
        </w:tc>
        <w:tc>
          <w:tcPr>
            <w:tcW w:w="368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原件</w:t>
            </w:r>
            <w:r>
              <w:rPr>
                <w:rFonts w:ascii="Arial" w:hAnsi="Arial" w:eastAsia="Arial" w:cs="Arial"/>
                <w:b/>
                <w:bCs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纸质</w:t>
            </w:r>
            <w:r>
              <w:rPr>
                <w:rFonts w:ascii="Arial" w:hAnsi="Arial" w:eastAsia="Arial" w:cs="Arial"/>
                <w:b/>
                <w:bCs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申请报告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取得在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江西省分局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辖内经营个人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兑换业务资格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2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年以上，且拥有不少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于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5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家获准经营个人兑换业务的分支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机构的证明材料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自身及所辖兑换特许机构近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2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年内经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营状况良好，且未被外汇局和其他监管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机构处罚的声明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在申请之日前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12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个月内办理个人兑换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业务金额不少于等值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2000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万美元的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证明材料，包括上一年度经会计师事务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所审计的个人兑换业务财务会计报告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具备统一会计核算，集中管理营运资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4"/>
                <w:sz w:val="21"/>
                <w:szCs w:val="21"/>
                <w:highlight w:val="none"/>
              </w:rPr>
              <w:t>金、备付金，及时准确报送数据等能力，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能实时监控所辖兑换特许机构业务办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理情况的说明材料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《个人本外币兑换特许业务经营承诺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书》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205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Arial" w:hAnsi="Arial" w:eastAsia="Arial" w:cs="Arial"/>
          <w:color w:val="auto"/>
          <w:sz w:val="30"/>
          <w:szCs w:val="30"/>
          <w:highlight w:val="none"/>
        </w:rPr>
        <w:t>4.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兑换特许机构分支机构申请开办个人兑换业务所需材料</w:t>
      </w:r>
    </w:p>
    <w:p>
      <w:pPr>
        <w:spacing w:after="0" w:line="192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40" w:type="dxa"/>
        <w:tblInd w:w="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3680"/>
        <w:gridCol w:w="1000"/>
        <w:gridCol w:w="700"/>
        <w:gridCol w:w="1000"/>
        <w:gridCol w:w="720"/>
        <w:gridCol w:w="70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</w:t>
            </w:r>
          </w:p>
        </w:tc>
        <w:tc>
          <w:tcPr>
            <w:tcW w:w="368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原件</w:t>
            </w:r>
            <w:r>
              <w:rPr>
                <w:rFonts w:ascii="Arial" w:hAnsi="Arial" w:eastAsia="Arial" w:cs="Arial"/>
                <w:b/>
                <w:bCs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纸质</w:t>
            </w:r>
            <w:r>
              <w:rPr>
                <w:rFonts w:ascii="Arial" w:hAnsi="Arial" w:eastAsia="Arial" w:cs="Arial"/>
                <w:b/>
                <w:bCs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申请报告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境内非金融机构同意该分支机构经营</w:t>
            </w: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36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694" w:left="1440" w:header="0" w:footer="0" w:gutter="0"/>
          <w:cols w:space="720" w:num="1"/>
        </w:sectPr>
      </w:pPr>
    </w:p>
    <w:tbl>
      <w:tblPr>
        <w:tblStyle w:val="5"/>
        <w:tblW w:w="8740" w:type="dxa"/>
        <w:tblInd w:w="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3680"/>
        <w:gridCol w:w="1000"/>
        <w:gridCol w:w="700"/>
        <w:gridCol w:w="1000"/>
        <w:gridCol w:w="720"/>
        <w:gridCol w:w="70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个人兑换业务的授权文件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3"/>
                <w:szCs w:val="2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境内非金融机构及所辖兑换特许机构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近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2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年内经营状况良好，且未被外汇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局和其他监管机构处罚的声明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主要管理人员、业务人员资信状况良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好，无犯罪记录，具有相关业务工作经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验，熟悉个人外汇业务管理政策的说明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材料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适合经营兑换特许业务的场所及其他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设施的说明材料，内容包括但不限于：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营业场所所有权或使用权的证明材料，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4"/>
                <w:sz w:val="21"/>
                <w:szCs w:val="21"/>
                <w:highlight w:val="none"/>
              </w:rPr>
              <w:t>电脑硬件、数据库设备情况，能够实时、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完整监测与记录兑换特许业务经营活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动的高清录像设备情况，审核境内个人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客户有效身份证件的设备情况，以醒目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中英文双语展示兑换币种和牌价的设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备情况等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兑换业务操作系统说明材料，内容包括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但不限于：实时办理兑换业务、备付金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管理、会计核算、汇总统计、存储记录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交易等功能情况，以及遵照个人结售汇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8"/>
                <w:szCs w:val="8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相关规定对超限额及分拆等行为予以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风险提示的功能情况等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业务管理制度，内容包括但不限于：业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务操作规程，外币兑换牌价管理、备付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金管理、现钞管理、会计核算、统计报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9"/>
                <w:szCs w:val="19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告、风险及相关内控管理、凭证和档案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印章管理等制度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兑换业务操作系统满足以接口模式接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入个人外汇系统技术条件的证明材料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205" w:lineRule="exact"/>
        <w:rPr>
          <w:color w:val="auto"/>
          <w:sz w:val="20"/>
          <w:szCs w:val="20"/>
          <w:highlight w:val="none"/>
        </w:rPr>
      </w:pPr>
    </w:p>
    <w:p>
      <w:pPr>
        <w:spacing w:after="0" w:line="364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Arial" w:hAnsi="Arial" w:eastAsia="Arial" w:cs="Arial"/>
          <w:color w:val="auto"/>
          <w:sz w:val="30"/>
          <w:szCs w:val="30"/>
          <w:highlight w:val="none"/>
        </w:rPr>
        <w:t>5.</w:t>
      </w:r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申请经营批发调钞业务所需材料</w:t>
      </w:r>
    </w:p>
    <w:p>
      <w:pPr>
        <w:spacing w:after="0" w:line="192" w:lineRule="exact"/>
        <w:rPr>
          <w:color w:val="auto"/>
          <w:sz w:val="20"/>
          <w:szCs w:val="20"/>
          <w:highlight w:val="none"/>
        </w:rPr>
      </w:pPr>
    </w:p>
    <w:tbl>
      <w:tblPr>
        <w:tblStyle w:val="5"/>
        <w:tblW w:w="8740" w:type="dxa"/>
        <w:tblInd w:w="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3680"/>
        <w:gridCol w:w="1000"/>
        <w:gridCol w:w="700"/>
        <w:gridCol w:w="1000"/>
        <w:gridCol w:w="720"/>
        <w:gridCol w:w="70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序</w:t>
            </w:r>
          </w:p>
        </w:tc>
        <w:tc>
          <w:tcPr>
            <w:tcW w:w="368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10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提交材料名称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原件</w:t>
            </w:r>
            <w:r>
              <w:rPr>
                <w:rFonts w:ascii="Arial" w:hAnsi="Arial" w:eastAsia="Arial" w:cs="Arial"/>
                <w:b/>
                <w:bCs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91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纸质</w:t>
            </w:r>
            <w:r>
              <w:rPr>
                <w:rFonts w:ascii="Arial" w:hAnsi="Arial" w:eastAsia="Arial" w:cs="Arial"/>
                <w:b/>
                <w:bCs/>
                <w:color w:val="auto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37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w w:val="99"/>
                <w:sz w:val="24"/>
                <w:szCs w:val="24"/>
                <w:highlight w:val="none"/>
              </w:rPr>
              <w:t>电子</w:t>
            </w:r>
          </w:p>
        </w:tc>
        <w:tc>
          <w:tcPr>
            <w:tcW w:w="7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3"/>
                <w:szCs w:val="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申请报告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取得在全国范围内经营个人兑换业务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资格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2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年以上，所辖兑换特许机构在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不少于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3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个外汇分局辖内经营个人兑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6"/>
                <w:szCs w:val="16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换业务的证明材料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自身及所辖兑换特许机构近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2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年内经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营状况良好，且未被外汇局和其他监管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机构处罚的声明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20" w:right="1440" w:bottom="694" w:left="1440" w:header="0" w:footer="0" w:gutter="0"/>
          <w:cols w:space="720" w:num="1"/>
        </w:sectPr>
      </w:pPr>
    </w:p>
    <w:p>
      <w:pPr>
        <w:spacing w:after="0" w:line="32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20" w:right="1440" w:bottom="694" w:left="1440" w:header="0" w:footer="0" w:gutter="0"/>
          <w:cols w:space="720" w:num="1"/>
        </w:sectPr>
      </w:pPr>
    </w:p>
    <w:tbl>
      <w:tblPr>
        <w:tblStyle w:val="5"/>
        <w:tblW w:w="8740" w:type="dxa"/>
        <w:tblInd w:w="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3680"/>
        <w:gridCol w:w="1000"/>
        <w:gridCol w:w="700"/>
        <w:gridCol w:w="1000"/>
        <w:gridCol w:w="720"/>
        <w:gridCol w:w="700"/>
        <w:gridCol w:w="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58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36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在申请之日前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12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个月内办理个人兑换</w:t>
            </w:r>
          </w:p>
        </w:tc>
        <w:tc>
          <w:tcPr>
            <w:tcW w:w="10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业务金额不少于等值</w:t>
            </w: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 xml:space="preserve"> 4000 </w:t>
            </w: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万美元的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7"/>
                <w:szCs w:val="1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证明材料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3"/>
                <w:szCs w:val="13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9"/>
                <w:sz w:val="21"/>
                <w:szCs w:val="21"/>
                <w:highlight w:val="none"/>
              </w:rPr>
              <w:t>具有适合经营批发调钞业务的设施、办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理系统及管理制度的说明材料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ind w:right="15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3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《个人本外币兑换特许业务经营承诺</w:t>
            </w: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40" w:lineRule="exact"/>
              <w:ind w:left="26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原件</w:t>
            </w:r>
          </w:p>
        </w:tc>
        <w:tc>
          <w:tcPr>
            <w:tcW w:w="7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ind w:right="216"/>
              <w:jc w:val="right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Arial" w:hAnsi="Arial" w:eastAsia="Arial" w:cs="Arial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55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纸质</w:t>
            </w:r>
            <w:r>
              <w:rPr>
                <w:rFonts w:ascii="Arial" w:hAnsi="Arial" w:eastAsia="Arial" w:cs="Arial"/>
                <w:color w:val="auto"/>
                <w:w w:val="98"/>
                <w:sz w:val="21"/>
                <w:szCs w:val="21"/>
                <w:highlight w:val="none"/>
              </w:rPr>
              <w:t>/</w:t>
            </w:r>
            <w:r>
              <w:rPr>
                <w:rFonts w:ascii="仿宋_GB2312" w:hAnsi="仿宋_GB2312" w:eastAsia="仿宋_GB2312" w:cs="仿宋_GB2312"/>
                <w:color w:val="auto"/>
                <w:w w:val="98"/>
                <w:sz w:val="21"/>
                <w:szCs w:val="21"/>
                <w:highlight w:val="none"/>
              </w:rPr>
              <w:t>电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 w:hRule="atLeast"/>
        </w:trPr>
        <w:tc>
          <w:tcPr>
            <w:tcW w:w="5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ind w:left="80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书》</w:t>
            </w: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100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18" w:lineRule="exact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w w:val="95"/>
                <w:sz w:val="21"/>
                <w:szCs w:val="21"/>
                <w:highlight w:val="none"/>
              </w:rPr>
              <w:t>子</w:t>
            </w: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11"/>
                <w:szCs w:val="11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100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70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7"/>
                <w:szCs w:val="7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5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10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70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color w:val="auto"/>
                <w:sz w:val="4"/>
                <w:szCs w:val="4"/>
                <w:highlight w:val="none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  <w:highlight w:val="none"/>
              </w:rPr>
            </w:pPr>
          </w:p>
        </w:tc>
      </w:tr>
    </w:tbl>
    <w:p>
      <w:pPr>
        <w:spacing w:after="0" w:line="123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（七）申请接受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申请人可通过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业务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窗口、邮寄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或国家外管理局政务服务网上</w:t>
      </w: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</w:p>
    <w:p>
      <w:pPr>
        <w:widowControl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办理系统等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方式提交材料。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国家外汇管理局江西省分局接受申请窗口：“国家外汇管理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局江西省分局国际收支处”，联系电话</w:t>
      </w:r>
      <w:r>
        <w:rPr>
          <w:rFonts w:hint="eastAsia" w:ascii="仿宋" w:hAnsi="仿宋" w:eastAsia="仿宋" w:cs="仿宋"/>
          <w:color w:val="auto"/>
          <w:sz w:val="29"/>
          <w:szCs w:val="29"/>
          <w:highlight w:val="none"/>
          <w:lang w:val="en-US" w:eastAsia="zh-CN"/>
        </w:rPr>
        <w:t>:</w:t>
      </w: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0791</w:t>
      </w:r>
      <w:r>
        <w:rPr>
          <w:rFonts w:hint="eastAsia" w:ascii="仿宋" w:hAnsi="仿宋" w:eastAsia="仿宋" w:cs="仿宋"/>
          <w:color w:val="auto"/>
          <w:sz w:val="29"/>
          <w:szCs w:val="29"/>
          <w:highlight w:val="none"/>
          <w:lang w:val="en-US" w:eastAsia="zh-CN"/>
        </w:rPr>
        <w:t>-</w:t>
      </w: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86613742，地址：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240" w:lineRule="auto"/>
        <w:ind w:left="360" w:right="0" w:firstLine="0" w:firstLineChars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江西省南昌市东湖区铁街 25 号，邮政编码 330008。</w:t>
      </w: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（八）基本办理流程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1.拟在江西辖内经营特许业务的：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（1）申请机构持所需材料向所在地外汇局申请；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960" w:right="366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（2）所在地外汇局初审合格后逐级报江西省分局批准；（3）江西省分局在收到完整申请材料之日起 20 个工作日内</w:t>
      </w:r>
    </w:p>
    <w:p>
      <w:pPr>
        <w:spacing w:after="0" w:line="283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做出批准或不批准其进入筹备期的书面决定；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366" w:firstLine="60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（4）申请机构在筹备期间达到特许业务开办条件的，持所需资料向所在地外汇局提交申请；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960" w:right="366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（5）所在地外汇局初审合格后逐级报江西省分局批准；（6）江西省分局自收到完整申请材料之日起 20 个工作日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366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内，对申请机构的开办条件进行现场验收，做出批准或不批准的书面决定，并对获得批准的机构发放兑换特许证。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2.在江西辖内经营特许业务的机构拟在全国范围内经营的：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（1）向江西省分局提交申请；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366" w:firstLine="60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（2）江西省分局自收到完整申请材料之日起 20 个工作日内初审同意后报国家外汇管理局批准。</w:t>
      </w:r>
    </w:p>
    <w:p>
      <w:pPr>
        <w:spacing w:after="0" w:line="318" w:lineRule="exact"/>
        <w:rPr>
          <w:color w:val="auto"/>
          <w:sz w:val="20"/>
          <w:szCs w:val="20"/>
          <w:highlight w:val="none"/>
        </w:rPr>
      </w:pPr>
    </w:p>
    <w:p>
      <w:pPr>
        <w:spacing w:after="0" w:line="465" w:lineRule="exact"/>
        <w:ind w:left="360" w:right="206" w:firstLine="60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（3）材料不全或不符合法定形式的，一次性告知补正材料，并出具《行政许可补正通知书》。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（九）办理方式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3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一般程序申请、受理、审查、出具正式公文并发放兑换特许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证。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（十）审批时限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自受理之日起 20 个工作日内。办理过程中所需的现场验收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等，不计入时限。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4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（十一）审批收费依据及标准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不收费。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（十二）审批结果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兑换特许证、正式公文。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（十三）结果送达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通过现场告知或电话通知申请人，并通过现场领取或邮寄方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式将结果送达。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（十四）申请人权利和义务</w:t>
      </w:r>
    </w:p>
    <w:p>
      <w:pPr>
        <w:spacing w:after="0" w:line="295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申请人有权依法提出行政审批申请，依法进行投诉、举报、</w:t>
      </w:r>
    </w:p>
    <w:p>
      <w:pPr>
        <w:spacing w:after="0" w:line="293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29"/>
          <w:szCs w:val="29"/>
          <w:highlight w:val="none"/>
        </w:rPr>
        <w:t>复议、诉讼等。申请人有义务保证申请材料完整、真实、准确，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获批后合法合规办理相关业务。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（十五）事项审查类型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前审后批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（十六）办公地址和时间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办公地址:江西省南昌市东湖区铁街 25 号，邮政编码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eastAsia="zh-CN"/>
        </w:rPr>
        <w:t>：</w:t>
      </w:r>
    </w:p>
    <w:p>
      <w:pPr>
        <w:spacing w:after="0" w:line="343" w:lineRule="exact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</w:p>
    <w:p>
      <w:pPr>
        <w:spacing w:after="0" w:line="343" w:lineRule="exact"/>
        <w:rPr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330008。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办公时间：上午:8：30--12:00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127" w:lineRule="exact"/>
        <w:rPr>
          <w:color w:val="auto"/>
          <w:sz w:val="20"/>
          <w:szCs w:val="20"/>
          <w:highlight w:val="none"/>
        </w:rPr>
      </w:pPr>
      <w:bookmarkStart w:id="5" w:name="page45"/>
      <w:bookmarkEnd w:id="5"/>
    </w:p>
    <w:p>
      <w:pPr>
        <w:spacing w:after="0" w:line="343" w:lineRule="exact"/>
        <w:ind w:right="506"/>
        <w:jc w:val="right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下午：2:00--5:30（冬季作息时间为 2:00--5:00）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（十七）禁止性要求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138" w:lineRule="exact"/>
        <w:rPr>
          <w:color w:val="auto"/>
          <w:sz w:val="20"/>
          <w:szCs w:val="20"/>
          <w:highlight w:val="none"/>
        </w:rPr>
      </w:pPr>
      <w:bookmarkStart w:id="6" w:name="page44"/>
      <w:bookmarkEnd w:id="6"/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详见（五）办事条件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（十八）咨询途径、公开查询、监督投诉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widowControl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向各地外汇局进行咨询、进程查询、监督投诉等可通过各地外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汇局官方互联网站的相应栏目进行。网址可通过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"http://www.safe.gov.cn" \h </w:instrText>
      </w:r>
      <w:r>
        <w:rPr>
          <w:highlight w:val="none"/>
        </w:rPr>
        <w:fldChar w:fldCharType="separate"/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 xml:space="preserve">www.safe.gov.cn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fldChar w:fldCharType="end"/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进行链接，也可通过各外汇局官方互联网站上公布的电话进行。</w:t>
      </w:r>
    </w:p>
    <w:p>
      <w:pPr>
        <w:widowControl/>
        <w:wordWrap/>
        <w:adjustRightInd/>
        <w:snapToGrid/>
        <w:spacing w:line="360" w:lineRule="auto"/>
        <w:ind w:right="0"/>
        <w:jc w:val="left"/>
        <w:textAlignment w:val="auto"/>
        <w:outlineLvl w:val="9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 xml:space="preserve">     </w:t>
      </w: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通过国家外汇管理局政务服务网上办理系统提交申请的，可</w:t>
      </w:r>
    </w:p>
    <w:p>
      <w:pPr>
        <w:spacing w:after="0" w:line="280" w:lineRule="exact"/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在该系统内进行查询。</w:t>
      </w:r>
    </w:p>
    <w:p>
      <w:pPr>
        <w:spacing w:after="0" w:line="280" w:lineRule="exact"/>
        <w:rPr>
          <w:rFonts w:ascii="仿宋" w:hAnsi="仿宋" w:eastAsia="仿宋" w:cs="仿宋"/>
          <w:color w:val="auto"/>
          <w:sz w:val="30"/>
          <w:szCs w:val="3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（十九）申请材料示范文本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无固定格式，但需要根据总行、分行、支行提供不同的材</w:t>
      </w:r>
    </w:p>
    <w:p>
      <w:pPr>
        <w:spacing w:after="0" w:line="282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360"/>
        <w:rPr>
          <w:color w:val="auto"/>
          <w:sz w:val="20"/>
          <w:szCs w:val="20"/>
          <w:highlight w:val="none"/>
        </w:r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料。</w:t>
      </w:r>
    </w:p>
    <w:p>
      <w:pPr>
        <w:spacing w:after="0" w:line="280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30"/>
          <w:szCs w:val="30"/>
          <w:highlight w:val="none"/>
        </w:rPr>
        <w:t>（二十）常见错误示例</w:t>
      </w:r>
    </w:p>
    <w:p>
      <w:pPr>
        <w:spacing w:after="0" w:line="284" w:lineRule="exact"/>
        <w:rPr>
          <w:color w:val="auto"/>
          <w:sz w:val="20"/>
          <w:szCs w:val="20"/>
          <w:highlight w:val="none"/>
        </w:rPr>
      </w:pPr>
    </w:p>
    <w:p>
      <w:pPr>
        <w:spacing w:after="0" w:line="343" w:lineRule="exact"/>
        <w:ind w:left="960"/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  <w:r>
        <w:rPr>
          <w:rFonts w:ascii="仿宋" w:hAnsi="仿宋" w:eastAsia="仿宋" w:cs="仿宋"/>
          <w:color w:val="auto"/>
          <w:sz w:val="30"/>
          <w:szCs w:val="30"/>
          <w:highlight w:val="none"/>
        </w:rPr>
        <w:t>申请材料要件不全。</w:t>
      </w:r>
      <w:bookmarkStart w:id="7" w:name="page43"/>
      <w:bookmarkEnd w:id="7"/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343" w:lineRule="exact"/>
        <w:rPr>
          <w:color w:val="auto"/>
          <w:sz w:val="20"/>
          <w:szCs w:val="20"/>
          <w:highlight w:val="none"/>
        </w:rPr>
      </w:pPr>
      <w:bookmarkStart w:id="8" w:name="page46"/>
      <w:bookmarkEnd w:id="8"/>
      <w:r>
        <w:rPr>
          <w:rFonts w:ascii="仿宋_GB2312" w:hAnsi="仿宋_GB2312" w:eastAsia="仿宋_GB2312" w:cs="仿宋_GB2312"/>
          <w:color w:val="auto"/>
          <w:sz w:val="30"/>
          <w:szCs w:val="30"/>
          <w:highlight w:val="none"/>
        </w:rPr>
        <w:t>附录</w:t>
      </w:r>
    </w:p>
    <w:p>
      <w:pPr>
        <w:spacing w:after="0" w:line="299" w:lineRule="exact"/>
        <w:rPr>
          <w:color w:val="auto"/>
          <w:sz w:val="20"/>
          <w:szCs w:val="20"/>
          <w:highlight w:val="none"/>
        </w:rPr>
      </w:pPr>
    </w:p>
    <w:p>
      <w:pPr>
        <w:spacing w:after="0" w:line="331" w:lineRule="exact"/>
        <w:ind w:right="286"/>
        <w:jc w:val="center"/>
        <w:rPr>
          <w:color w:val="auto"/>
          <w:sz w:val="20"/>
          <w:szCs w:val="20"/>
          <w:highlight w:val="none"/>
        </w:rPr>
      </w:pPr>
      <w:r>
        <w:rPr>
          <w:rFonts w:ascii="黑体" w:hAnsi="黑体" w:eastAsia="黑体" w:cs="黑体"/>
          <w:color w:val="auto"/>
          <w:sz w:val="29"/>
          <w:szCs w:val="29"/>
          <w:highlight w:val="none"/>
        </w:rPr>
        <w:t>基本流程图</w:t>
      </w:r>
    </w:p>
    <w:p>
      <w:pPr>
        <w:spacing w:after="0" w:line="20" w:lineRule="exact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20"/>
          <w:szCs w:val="20"/>
          <w:highlight w:val="none"/>
          <w:lang w:val="en-US" w:eastAsia="zh-CN" w:bidi="ar-SA"/>
        </w:rPr>
        <w:pict>
          <v:shape id="Picture 17" o:spid="_x0000_s1027" type="#_x0000_t75" style="position:absolute;left:0;margin-left:16.65pt;margin-top:14.3pt;height:61.35pt;width:88.95pt;rotation:0f;z-index:-251658240;" o:ole="f" fillcolor="#FFFFFF" filled="f" o:preferrelative="t" stroked="f" coordorigin="0,0" coordsize="21600,21600" o:allowincell="f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</v:shape>
        </w:pict>
      </w:r>
    </w:p>
    <w:p>
      <w:pPr>
        <w:rPr>
          <w:highlight w:val="none"/>
        </w:rPr>
        <w:sectPr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64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申请人现场提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出书面申请，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56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并提交材料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44" w:lineRule="exact"/>
        <w:rPr>
          <w:color w:val="auto"/>
          <w:sz w:val="20"/>
          <w:szCs w:val="20"/>
          <w:highlight w:val="none"/>
        </w:rPr>
      </w:pPr>
    </w:p>
    <w:p>
      <w:pPr>
        <w:spacing w:after="0" w:line="267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接件并当场（或</w:t>
      </w:r>
      <w:r>
        <w:rPr>
          <w:rFonts w:ascii="Calibri" w:hAnsi="Calibri" w:eastAsia="Calibri" w:cs="Calibri"/>
          <w:color w:val="auto"/>
          <w:sz w:val="21"/>
          <w:szCs w:val="21"/>
          <w:highlight w:val="none"/>
        </w:rPr>
        <w:t xml:space="preserve"> 5  </w:t>
      </w:r>
      <w:r>
        <w:rPr>
          <w:rFonts w:ascii="Calibri" w:hAnsi="Calibri" w:eastAsia="宋体" w:cs="黑体"/>
          <w:color w:val="auto"/>
          <w:sz w:val="1"/>
          <w:szCs w:val="1"/>
          <w:highlight w:val="none"/>
          <w:lang w:val="en-US" w:eastAsia="zh-CN" w:bidi="ar-SA"/>
        </w:rPr>
        <w:pict>
          <v:shape id="Picture 18" o:spid="_x0000_s1028" type="#_x0000_t75" style="height:8pt;width:60.6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after="0" w:line="20" w:lineRule="exact"/>
        <w:rPr>
          <w:color w:val="auto"/>
          <w:sz w:val="20"/>
          <w:szCs w:val="20"/>
          <w:highlight w:val="none"/>
        </w:rPr>
      </w:pPr>
      <w:r>
        <w:rPr>
          <w:color w:val="auto"/>
          <w:sz w:val="20"/>
          <w:szCs w:val="20"/>
          <w:highlight w:val="none"/>
        </w:rPr>
        <w:br w:type="column"/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3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right="546"/>
        <w:jc w:val="right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申请人补全材料</w:t>
      </w:r>
    </w:p>
    <w:p>
      <w:pPr>
        <w:spacing w:after="0" w:line="20" w:lineRule="exact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20"/>
          <w:szCs w:val="20"/>
          <w:highlight w:val="none"/>
          <w:lang w:val="en-US" w:eastAsia="zh-CN" w:bidi="ar-SA"/>
        </w:rPr>
        <w:pict>
          <v:shape id="Picture 19" o:spid="_x0000_s1029" type="#_x0000_t75" style="position:absolute;left:0;margin-left:-167.9pt;margin-top:-19.65pt;height:429.95pt;width:479.75pt;rotation:0f;z-index:-251657216;" o:ole="f" fillcolor="#FFFFFF" filled="f" o:preferrelative="t" stroked="f" coordorigin="0,0" coordsize="21600,21600" o:allowincell="f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</v:shape>
        </w:pic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1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材料不全或不符合法定形式的，一次性告知补正材料</w:t>
      </w:r>
    </w:p>
    <w:p>
      <w:pPr>
        <w:spacing w:after="0" w:line="110" w:lineRule="exact"/>
        <w:rPr>
          <w:color w:val="auto"/>
          <w:sz w:val="20"/>
          <w:szCs w:val="20"/>
          <w:highlight w:val="none"/>
        </w:rPr>
      </w:pP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equalWidth="0" w:num="2">
            <w:col w:w="3420" w:space="140"/>
            <w:col w:w="5466"/>
          </w:cols>
        </w:sectPr>
      </w:pPr>
    </w:p>
    <w:p>
      <w:pPr>
        <w:spacing w:after="0" w:line="24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个工作日）作出是</w:t>
      </w:r>
    </w:p>
    <w:p>
      <w:pPr>
        <w:spacing w:after="0" w:line="7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44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否受理决定</w:t>
      </w:r>
    </w:p>
    <w:p>
      <w:pPr>
        <w:spacing w:after="0" w:line="2" w:lineRule="exact"/>
        <w:rPr>
          <w:color w:val="auto"/>
          <w:sz w:val="20"/>
          <w:szCs w:val="20"/>
          <w:highlight w:val="none"/>
        </w:rPr>
      </w:pPr>
    </w:p>
    <w:p>
      <w:pPr>
        <w:spacing w:after="0" w:line="261" w:lineRule="exact"/>
        <w:ind w:left="3580" w:right="446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依法不予受理的，作出不予受理决定，出具不予受理通知书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59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1160"/>
        <w:rPr>
          <w:color w:val="auto"/>
          <w:sz w:val="20"/>
          <w:szCs w:val="20"/>
          <w:highlight w:val="none"/>
        </w:rPr>
      </w:pPr>
      <w:r>
        <w:rPr>
          <w:rFonts w:ascii="Calibri" w:hAnsi="Calibri" w:eastAsia="宋体" w:cs="黑体"/>
          <w:color w:val="auto"/>
          <w:sz w:val="1"/>
          <w:szCs w:val="1"/>
          <w:highlight w:val="none"/>
          <w:lang w:val="en-US" w:eastAsia="zh-CN" w:bidi="ar-SA"/>
        </w:rPr>
        <w:pict>
          <v:shape id="Picture 20" o:spid="_x0000_s1030" type="#_x0000_t75" style="height:8pt;width:43.1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依法应予受理，出具受理单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32" w:lineRule="exact"/>
        <w:rPr>
          <w:color w:val="auto"/>
          <w:sz w:val="20"/>
          <w:szCs w:val="20"/>
          <w:highlight w:val="none"/>
        </w:rPr>
      </w:pPr>
    </w:p>
    <w:p>
      <w:pPr>
        <w:spacing w:after="0" w:line="240" w:lineRule="exact"/>
        <w:ind w:left="3680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审查报批</w:t>
      </w: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59" w:lineRule="exact"/>
        <w:rPr>
          <w:color w:val="auto"/>
          <w:sz w:val="20"/>
          <w:szCs w:val="20"/>
          <w:highlight w:val="none"/>
        </w:rPr>
      </w:pPr>
    </w:p>
    <w:p>
      <w:pPr>
        <w:spacing w:after="0" w:line="261" w:lineRule="exact"/>
        <w:ind w:left="760" w:right="1206"/>
        <w:rPr>
          <w:color w:val="auto"/>
          <w:sz w:val="20"/>
          <w:szCs w:val="20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予以许可的，向申请人出具批准书面决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依法作出不予许可决定，并送达定，发放兑换特许证</w:t>
      </w:r>
    </w:p>
    <w:p>
      <w:pPr>
        <w:rPr>
          <w:highlight w:val="none"/>
        </w:rPr>
        <w:sectPr>
          <w:type w:val="continuous"/>
          <w:pgSz w:w="11900" w:h="16838"/>
          <w:pgMar w:top="1440" w:right="1440" w:bottom="662" w:left="1440" w:header="0" w:footer="0" w:gutter="0"/>
          <w:cols w:space="720" w:num="1"/>
        </w:sect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200" w:lineRule="exact"/>
        <w:rPr>
          <w:color w:val="auto"/>
          <w:sz w:val="20"/>
          <w:szCs w:val="20"/>
          <w:highlight w:val="none"/>
        </w:rPr>
      </w:pPr>
    </w:p>
    <w:p>
      <w:pPr>
        <w:spacing w:after="0" w:line="375" w:lineRule="exact"/>
        <w:rPr>
          <w:color w:val="auto"/>
          <w:sz w:val="20"/>
          <w:szCs w:val="20"/>
          <w:highlight w:val="none"/>
        </w:rPr>
      </w:pPr>
    </w:p>
    <w:p>
      <w:pPr>
        <w:spacing w:after="0"/>
        <w:ind w:right="6"/>
        <w:jc w:val="center"/>
        <w:rPr>
          <w:color w:val="auto"/>
          <w:sz w:val="20"/>
          <w:szCs w:val="20"/>
          <w:highlight w:val="none"/>
        </w:rPr>
      </w:pPr>
    </w:p>
    <w:sectPr>
      <w:type w:val="continuous"/>
      <w:pgSz w:w="11900" w:h="16838"/>
      <w:pgMar w:top="1440" w:right="1440" w:bottom="662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sz w:val="18"/>
        <w:szCs w:val="22"/>
        <w:lang w:val="en-US" w:eastAsia="zh-CN" w:bidi="ar-SA"/>
      </w:rPr>
      <w:pict>
        <v:rect id="文本框 2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6299">
    <w:nsid w:val="000066BB"/>
    <w:multiLevelType w:val="singleLevel"/>
    <w:tmpl w:val="000066BB"/>
    <w:lvl w:ilvl="0" w:tentative="1">
      <w:start w:val="3"/>
      <w:numFmt w:val="decimal"/>
      <w:lvlText w:val="%1."/>
      <w:lvlJc w:val="left"/>
    </w:lvl>
  </w:abstractNum>
  <w:abstractNum w:abstractNumId="1615977186">
    <w:nsid w:val="6051DAE2"/>
    <w:multiLevelType w:val="singleLevel"/>
    <w:tmpl w:val="6051DAE2"/>
    <w:lvl w:ilvl="0" w:tentative="1">
      <w:start w:val="2"/>
      <w:numFmt w:val="decimal"/>
      <w:suff w:val="space"/>
      <w:lvlText w:val="%1."/>
      <w:lvlJc w:val="left"/>
    </w:lvl>
  </w:abstractNum>
  <w:num w:numId="1">
    <w:abstractNumId w:val="1615977186"/>
  </w:num>
  <w:num w:numId="2">
    <w:abstractNumId w:val="2629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222231E"/>
    <w:rsid w:val="02447873"/>
    <w:rsid w:val="05C012DA"/>
    <w:rsid w:val="0665374B"/>
    <w:rsid w:val="069C23F7"/>
    <w:rsid w:val="07B42464"/>
    <w:rsid w:val="09752B41"/>
    <w:rsid w:val="0A3E1B87"/>
    <w:rsid w:val="0BB66944"/>
    <w:rsid w:val="0C1A446B"/>
    <w:rsid w:val="0C1B1EEC"/>
    <w:rsid w:val="0F6C1AE5"/>
    <w:rsid w:val="106967D5"/>
    <w:rsid w:val="1084318B"/>
    <w:rsid w:val="116D1222"/>
    <w:rsid w:val="11DD16DD"/>
    <w:rsid w:val="1237328A"/>
    <w:rsid w:val="12542FA0"/>
    <w:rsid w:val="125C2E04"/>
    <w:rsid w:val="133F139C"/>
    <w:rsid w:val="13AA6E04"/>
    <w:rsid w:val="14CB7975"/>
    <w:rsid w:val="150E5397"/>
    <w:rsid w:val="16213F5B"/>
    <w:rsid w:val="170544B8"/>
    <w:rsid w:val="17527B50"/>
    <w:rsid w:val="18266A9A"/>
    <w:rsid w:val="198E0695"/>
    <w:rsid w:val="1A2A765E"/>
    <w:rsid w:val="1A2F4D99"/>
    <w:rsid w:val="1A406F1E"/>
    <w:rsid w:val="1D060921"/>
    <w:rsid w:val="1D481D98"/>
    <w:rsid w:val="1E2E3C90"/>
    <w:rsid w:val="217B0B7F"/>
    <w:rsid w:val="22130ABC"/>
    <w:rsid w:val="22C25BDF"/>
    <w:rsid w:val="230B1A7F"/>
    <w:rsid w:val="234E6205"/>
    <w:rsid w:val="23F45ED3"/>
    <w:rsid w:val="25A0034A"/>
    <w:rsid w:val="2747517D"/>
    <w:rsid w:val="2BB17E2F"/>
    <w:rsid w:val="2C7C4D94"/>
    <w:rsid w:val="2C920EE4"/>
    <w:rsid w:val="2FF70A50"/>
    <w:rsid w:val="319E1B27"/>
    <w:rsid w:val="31C7380D"/>
    <w:rsid w:val="32133D70"/>
    <w:rsid w:val="3225214E"/>
    <w:rsid w:val="34061166"/>
    <w:rsid w:val="35B6712B"/>
    <w:rsid w:val="36022144"/>
    <w:rsid w:val="38957B7A"/>
    <w:rsid w:val="390C7C7A"/>
    <w:rsid w:val="3AE657AF"/>
    <w:rsid w:val="3B562A5A"/>
    <w:rsid w:val="3BC547A0"/>
    <w:rsid w:val="3C8F2A00"/>
    <w:rsid w:val="3CF411E0"/>
    <w:rsid w:val="3D5877B1"/>
    <w:rsid w:val="3E3C37E0"/>
    <w:rsid w:val="407B5EF4"/>
    <w:rsid w:val="412133EB"/>
    <w:rsid w:val="413B397D"/>
    <w:rsid w:val="41D7750A"/>
    <w:rsid w:val="420F0B5F"/>
    <w:rsid w:val="4279693D"/>
    <w:rsid w:val="43696F7C"/>
    <w:rsid w:val="44D70EB3"/>
    <w:rsid w:val="45766C45"/>
    <w:rsid w:val="46C50728"/>
    <w:rsid w:val="48492FF8"/>
    <w:rsid w:val="48555A92"/>
    <w:rsid w:val="48EC7BAC"/>
    <w:rsid w:val="493276F0"/>
    <w:rsid w:val="49935043"/>
    <w:rsid w:val="4AF20A81"/>
    <w:rsid w:val="4CD8184C"/>
    <w:rsid w:val="4DE578DC"/>
    <w:rsid w:val="4E497676"/>
    <w:rsid w:val="4E8D0FEE"/>
    <w:rsid w:val="4EB458AA"/>
    <w:rsid w:val="4EF27C6D"/>
    <w:rsid w:val="4F275969"/>
    <w:rsid w:val="52250C1F"/>
    <w:rsid w:val="526001D5"/>
    <w:rsid w:val="52D12EEC"/>
    <w:rsid w:val="548D0CE0"/>
    <w:rsid w:val="555F1DEF"/>
    <w:rsid w:val="55865082"/>
    <w:rsid w:val="56B95D55"/>
    <w:rsid w:val="577E137C"/>
    <w:rsid w:val="57987942"/>
    <w:rsid w:val="57EB194A"/>
    <w:rsid w:val="58032660"/>
    <w:rsid w:val="58653812"/>
    <w:rsid w:val="5B0D33E2"/>
    <w:rsid w:val="5E765123"/>
    <w:rsid w:val="60804744"/>
    <w:rsid w:val="61430B54"/>
    <w:rsid w:val="645B63B1"/>
    <w:rsid w:val="64CB7144"/>
    <w:rsid w:val="676B166F"/>
    <w:rsid w:val="6AA21861"/>
    <w:rsid w:val="6B2911D8"/>
    <w:rsid w:val="6B2F50E5"/>
    <w:rsid w:val="6C2D43D4"/>
    <w:rsid w:val="6C4C5B50"/>
    <w:rsid w:val="6CA123E8"/>
    <w:rsid w:val="6D5151F0"/>
    <w:rsid w:val="6EAA59EF"/>
    <w:rsid w:val="70896BAE"/>
    <w:rsid w:val="70F04383"/>
    <w:rsid w:val="7165714C"/>
    <w:rsid w:val="731F586B"/>
    <w:rsid w:val="73B57148"/>
    <w:rsid w:val="73BD2ED2"/>
    <w:rsid w:val="73DA6307"/>
    <w:rsid w:val="75C42647"/>
    <w:rsid w:val="76F87D58"/>
    <w:rsid w:val="778B7A11"/>
    <w:rsid w:val="786C4C47"/>
    <w:rsid w:val="7B73265C"/>
    <w:rsid w:val="7C156B95"/>
    <w:rsid w:val="7C49489B"/>
    <w:rsid w:val="7D5E45BC"/>
    <w:rsid w:val="7D60606F"/>
    <w:rsid w:val="7D916592"/>
    <w:rsid w:val="7E445D14"/>
    <w:rsid w:val="7F00569E"/>
    <w:rsid w:val="7F243DD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黑体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14764</Words>
  <Characters>15348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2020-03-30T11:04:00Z</dcterms:created>
  <dc:creator>Windows User</dc:creator>
  <cp:lastModifiedBy>揭睿智</cp:lastModifiedBy>
  <dcterms:modified xsi:type="dcterms:W3CDTF">2021-04-29T06:07:42Z</dcterms:modified>
  <dc:title>编号：57013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