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编号：57014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“保险、证券公司等非银行金融机构外汇业务市场准入、退出审批”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行政审批服务指南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pStyle w:val="20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0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项目名称：保险、证券公司等非银行金融机构外汇业务市场准入、退出审批；</w:t>
      </w:r>
    </w:p>
    <w:p>
      <w:pPr>
        <w:adjustRightIn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项目编号：57014；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本指南适用于“保险、证券公司等非银行金融机构外汇业务市场准入、退出审批”的申请和办理。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中华人民共和国外汇管理条例》（国务院令第532号）第二十四条：“金融机构经营或者终止经营结汇、售汇业务，应当经外汇管理机关批准；经营或者终止经营其他外汇业务，应当按照职责分工经外汇管理机关或者金融业监督管理机构批准”。</w:t>
      </w:r>
    </w:p>
    <w:p>
      <w:pPr>
        <w:adjustRightIn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四、保险机构外汇业务市场准入审批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1.《中华人民共和国外汇管理条例》（国务院令第532号）；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2.《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国家外汇管理局关于进一步促进保险公司资本金结汇便利化的通知》（汇发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〔2019〕17号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3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《国家外汇管理局关于印发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〈经常项目外汇业务指引（2020年版）〉的通知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〔2020〕14号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申请人注册所在地国家外汇管理局分局（外汇管理部）。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申请人注册所在地国家外汇管理局分局（外汇管理部）。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申请人为保险机构，应同时符合以下条件：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1.经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准在境内依法登记注册；</w:t>
      </w:r>
    </w:p>
    <w:p>
      <w:pPr>
        <w:pStyle w:val="23"/>
        <w:spacing w:line="360" w:lineRule="auto"/>
        <w:ind w:firstLine="600" w:firstLineChars="200"/>
        <w:rPr>
          <w:rFonts w:ascii="Times New Roman" w:hAnsi="Times New Roman" w:cs="Times New Roman"/>
          <w:color w:val="auto"/>
          <w:kern w:val="2"/>
          <w:sz w:val="30"/>
          <w:szCs w:val="30"/>
        </w:rPr>
      </w:pPr>
      <w:r>
        <w:rPr>
          <w:rFonts w:ascii="Times New Roman" w:hAnsi="Times New Roman" w:cs="Times New Roman"/>
          <w:color w:val="auto"/>
          <w:sz w:val="30"/>
          <w:szCs w:val="30"/>
        </w:rPr>
        <w:t>2.</w:t>
      </w:r>
      <w:r>
        <w:rPr>
          <w:rFonts w:ascii="Times New Roman" w:hAnsi="Times New Roman" w:cs="Times New Roman"/>
          <w:color w:val="auto"/>
          <w:kern w:val="2"/>
          <w:sz w:val="30"/>
          <w:szCs w:val="30"/>
        </w:rPr>
        <w:t>具有经营保险业务资格；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3.具有完备的与外汇保险业务相应的内部管理制度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4.近三年未发生情节严重的违法违规行为、未受到保险行业主管部门或国家外汇管理局等部门行政处罚。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保险机构外汇业务市场审批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新办申请材料清单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418"/>
        <w:gridCol w:w="708"/>
        <w:gridCol w:w="851"/>
        <w:gridCol w:w="1843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列明申请事项及申请业务范围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061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保险行业主管部门颁发的经营保险业务资格证明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061" w:type="dxa"/>
            <w:vAlign w:val="center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营业执照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自由贸易试验区内保险公司免于提供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06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与申请外汇保险业务相应的内部管理制度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包括但不限于业务操作流程、资金管理和数据报送等内容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保险机构外汇业务市场审批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变更申请材料清单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627"/>
        <w:gridCol w:w="1235"/>
        <w:gridCol w:w="457"/>
        <w:gridCol w:w="861"/>
        <w:gridCol w:w="2519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57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62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列明变更事项（变更外汇保险业务范围或机构名称）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变更外汇保险业务范围的，提交与变更后外汇保险业务范围相应的内部管理制度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包括但不限于业务操作流程、资金管理和数据报送等内容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62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变更机构名称的，提交保险行业主管部门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核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准其名称变更的文件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、保险行业主管部门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颁发的变更后经营保险业务资格证明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、变更后的营业执照</w:t>
            </w: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加盖企业公章的复印件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519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自营业执照变更之日起20个工作日内提交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pacing w:line="360" w:lineRule="auto"/>
        <w:ind w:firstLine="600" w:firstLineChars="200"/>
        <w:rPr>
          <w:rFonts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4.予以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针对新办、变更申请，出具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1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1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1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咨询途径、监督和投诉、公开查询等由所在地分局（外汇管理部）办理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咨询、监督和投诉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查询办理进程等可通过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以下途径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进行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2.监督和投诉途径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0771-6111312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</w:rPr>
        <w:t>国家外汇管理局广西壮族自治区分局办公地址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：广西南宁市青秀区滨湖路58号中国人民银行南宁中心支行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七楼704室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0"/>
          <w:szCs w:val="30"/>
        </w:rPr>
        <w:t>国家外汇管理局广西壮族自治区分局办公时间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 xml:space="preserve">：工作日，上午：08:30-12:00，下午：02:30-05:30。 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（十八）申请材料示范文本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  <w:highlight w:val="yellow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XX保险公司关于经营外汇保险业务的申请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XX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我公司成立于XXXX年，注册资金XX万元，注册地址为XX地（公司基本情况介绍）。因公司业务发展的需要，拟申请经营外汇保险业务，具体情况如下： 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具体情况介绍（如拟申请经营外汇保险业务的范围、公司经营情况、相关内部管理制度等）</w:t>
      </w:r>
    </w:p>
    <w:p>
      <w:pPr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XX保险公司</w:t>
      </w:r>
    </w:p>
    <w:p>
      <w:pPr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XX保险公司关于变更外汇保险业务范围（或机构名称）的申请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XX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我公司成立于XXXX年，注册资本XX万元，注册地址为XX地（公司基本情况介绍）。我公司于XXXX年X月X日取得经营外汇保险业务资格，现由于XX原因，拟申请变更外汇保险业务范围（或机构名称），具体情况如下：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具体情况说明（如目前经营外汇保险业务的范围、公司经营情况、变更外汇保险业务范围（或机构名称）的原因及具体情况等）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XX保险公司</w:t>
      </w:r>
    </w:p>
    <w:p>
      <w:pPr>
        <w:adjustRightInd w:val="0"/>
        <w:snapToGrid w:val="0"/>
        <w:spacing w:line="360" w:lineRule="auto"/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（十九）常见问题解答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1.申请材料对内部管理制度有何要求？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与申请外汇保险业务相应的内部管理制度，包括但不限于业务操作流程、资金管理和数据报送等内容。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按照法规要求，正式受理后，20个工作日内可以批复。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（二十）常见错误示例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申请材料未明确业务范围，内部管理制度缺少操作流程、资金管理和数据报送等内容。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</w:p>
    <w:p>
      <w:pPr>
        <w:adjustRightInd w:val="0"/>
        <w:snapToGrid w:val="0"/>
        <w:ind w:right="301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adjustRightInd w:val="0"/>
        <w:snapToGrid w:val="0"/>
        <w:ind w:right="301"/>
        <w:jc w:val="center"/>
        <w:rPr>
          <w:color w:val="auto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</w:t>
      </w:r>
      <w:r>
        <w:rPr>
          <w:rFonts w:ascii="Times New Roman" w:hAnsi="Times New Roman" w:eastAsia="黑体" w:cs="Times New Roman"/>
          <w:color w:val="auto"/>
          <w:kern w:val="2"/>
          <w:sz w:val="48"/>
          <w:szCs w:val="48"/>
          <w:lang w:val="en-US" w:eastAsia="zh-CN" w:bidi="ar-SA"/>
        </w:rPr>
        <w:pict>
          <v:group id="Group 47" o:spid="_x0000_s1026" style="position:absolute;left:0;margin-left:-39.15pt;margin-top:40.85pt;height:505.05pt;width:481.85pt;rotation:0f;z-index:251658240;" coordorigin="0,0" coordsize="9637,10101">
            <o:lock v:ext="edit" position="f" selection="f" grouping="f" rotation="f" cropping="f" text="f" aspectratio="f"/>
            <v:shape id="AutoShape 287" o:spid="_x0000_s1027" type="#_x0000_t32" style="position:absolute;left:792;top:1930;height:0;width:1543;rotation:589824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88" o:spid="_x0000_s1028" type="#_x0000_t32" style="position:absolute;left:3678;top:3177;height:0;width:50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89" o:spid="_x0000_s1029" type="#_x0000_t34" style="position:absolute;left:3663;top:4208;height:1;width:519;rotation:0f;" o:ole="f" fillcolor="#FFFFFF" filled="t" o:preferrelative="t" stroked="t" coordorigin="0,0" coordsize="21600,21600" adj="10779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0" o:spid="_x0000_s1030" type="#_x0000_t32" style="position:absolute;left:7690;top:1940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1" o:spid="_x0000_s1031" type="#_x0000_t32" style="position:absolute;left:1612;top:162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2" o:spid="_x0000_s1032" type="#_x0000_t32" style="position:absolute;left:3985;top:6520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3" o:spid="_x0000_s1033" type="#_x0000_t32" style="position:absolute;left:3969;top:8439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4" o:spid="_x0000_s1034" type="#_x0000_t32" style="position:absolute;left:1610;top:4649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295" o:spid="_x0000_s1035" type="#_x0000_t32" style="position:absolute;left:1610;top:6055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296" o:spid="_x0000_s1036" type="#_x0000_t110" style="position:absolute;left:0;top:2715;height:2115;width:315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AutoShape 297" o:spid="_x0000_s1037" type="#_x0000_t32" style="position:absolute;left:3136;top:3683;height:0;width:1025;rotation:589824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298" o:spid="_x0000_s1038" type="#_x0000_t32" style="position:absolute;left:3150;top:3776;height:0;width:513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Rectangle 299" o:spid="_x0000_s1039" style="position:absolute;left:6255;top:119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  <w:p/>
                </w:txbxContent>
              </v:textbox>
            </v:rect>
            <v:shape id="AutoShape 300" o:spid="_x0000_s1040" type="#_x0000_t109" style="position:absolute;left:4182;top:2835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Rectangle 301" o:spid="_x0000_s1041" style="position:absolute;left:4197;top:3776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AutoShape 302" o:spid="_x0000_s1042" type="#_x0000_t109" style="position:absolute;left:2435;top:5705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  <w:p/>
                </w:txbxContent>
              </v:textbox>
            </v:shape>
            <v:shape id="AutoShape 303" o:spid="_x0000_s1043" type="#_x0000_t110" style="position:absolute;left:2439;top:6957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AutoShape 304" o:spid="_x0000_s1044" type="#_x0000_t109" style="position:absolute;left:2435;top:9344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AutoShape 305" o:spid="_x0000_s1045" type="#_x0000_t109" style="position:absolute;left:6769;top:7285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AutoShape 306" o:spid="_x0000_s1046" type="#_x0000_t32" style="position:absolute;left:5503;top:7666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07" o:spid="_x0000_s1047" type="#_x0000_t116" style="position:absolute;left:683;top:0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申请人现场提出书面申请，并提交材料</w:t>
                    </w:r>
                  </w:p>
                  <w:p/>
                </w:txbxContent>
              </v:textbox>
            </v:shape>
          </v:group>
        </w:pic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图</w:t>
      </w:r>
    </w:p>
    <w:sectPr>
      <w:footerReference r:id="rId5" w:type="default"/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25101">
    <w:nsid w:val="5FE1ABCD"/>
    <w:multiLevelType w:val="singleLevel"/>
    <w:tmpl w:val="5FE1ABCD"/>
    <w:lvl w:ilvl="0" w:tentative="1">
      <w:start w:val="15"/>
      <w:numFmt w:val="chineseCounting"/>
      <w:suff w:val="nothing"/>
      <w:lvlText w:val="（%1）"/>
      <w:lvlJc w:val="left"/>
    </w:lvl>
  </w:abstractNum>
  <w:num w:numId="1">
    <w:abstractNumId w:val="160862510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003372"/>
    <w:rsid w:val="00016BA0"/>
    <w:rsid w:val="00022191"/>
    <w:rsid w:val="00023783"/>
    <w:rsid w:val="00041960"/>
    <w:rsid w:val="00042B58"/>
    <w:rsid w:val="00054B00"/>
    <w:rsid w:val="00055270"/>
    <w:rsid w:val="00057F76"/>
    <w:rsid w:val="0006560A"/>
    <w:rsid w:val="00072F8A"/>
    <w:rsid w:val="000750C8"/>
    <w:rsid w:val="00080630"/>
    <w:rsid w:val="00091661"/>
    <w:rsid w:val="00092D53"/>
    <w:rsid w:val="00096CBB"/>
    <w:rsid w:val="00097F7B"/>
    <w:rsid w:val="000B6901"/>
    <w:rsid w:val="000B728B"/>
    <w:rsid w:val="000C15B3"/>
    <w:rsid w:val="000C2B33"/>
    <w:rsid w:val="000C3109"/>
    <w:rsid w:val="000D1995"/>
    <w:rsid w:val="000D7478"/>
    <w:rsid w:val="000E1402"/>
    <w:rsid w:val="000E4759"/>
    <w:rsid w:val="0012271F"/>
    <w:rsid w:val="00130519"/>
    <w:rsid w:val="001332EE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0108"/>
    <w:rsid w:val="00196FAE"/>
    <w:rsid w:val="001A3E49"/>
    <w:rsid w:val="001A72AA"/>
    <w:rsid w:val="001B1E2C"/>
    <w:rsid w:val="001C0646"/>
    <w:rsid w:val="001C44C7"/>
    <w:rsid w:val="001D65A2"/>
    <w:rsid w:val="001E1407"/>
    <w:rsid w:val="001F4BD4"/>
    <w:rsid w:val="001F7297"/>
    <w:rsid w:val="00205D07"/>
    <w:rsid w:val="00212F39"/>
    <w:rsid w:val="00215BA9"/>
    <w:rsid w:val="00217116"/>
    <w:rsid w:val="00231EED"/>
    <w:rsid w:val="00233841"/>
    <w:rsid w:val="00235F24"/>
    <w:rsid w:val="002417D2"/>
    <w:rsid w:val="00241FE8"/>
    <w:rsid w:val="0024527E"/>
    <w:rsid w:val="00253F7B"/>
    <w:rsid w:val="00263773"/>
    <w:rsid w:val="00263B1F"/>
    <w:rsid w:val="00291C17"/>
    <w:rsid w:val="0029313A"/>
    <w:rsid w:val="002B0B1C"/>
    <w:rsid w:val="002B598D"/>
    <w:rsid w:val="002B61C1"/>
    <w:rsid w:val="002C6BC7"/>
    <w:rsid w:val="002E1323"/>
    <w:rsid w:val="002F3868"/>
    <w:rsid w:val="00302119"/>
    <w:rsid w:val="00302E87"/>
    <w:rsid w:val="00310261"/>
    <w:rsid w:val="0033051F"/>
    <w:rsid w:val="00343044"/>
    <w:rsid w:val="00344B01"/>
    <w:rsid w:val="00353AC4"/>
    <w:rsid w:val="00360FA0"/>
    <w:rsid w:val="003616B4"/>
    <w:rsid w:val="0037548C"/>
    <w:rsid w:val="003A57B2"/>
    <w:rsid w:val="003C7132"/>
    <w:rsid w:val="003D77A5"/>
    <w:rsid w:val="003E6BF6"/>
    <w:rsid w:val="003F221D"/>
    <w:rsid w:val="003F3097"/>
    <w:rsid w:val="00402AE8"/>
    <w:rsid w:val="00405FE6"/>
    <w:rsid w:val="004104EB"/>
    <w:rsid w:val="004105BC"/>
    <w:rsid w:val="00421C27"/>
    <w:rsid w:val="00440A1F"/>
    <w:rsid w:val="00443603"/>
    <w:rsid w:val="00443604"/>
    <w:rsid w:val="004501EA"/>
    <w:rsid w:val="00460458"/>
    <w:rsid w:val="00463BFF"/>
    <w:rsid w:val="0046792D"/>
    <w:rsid w:val="004767DF"/>
    <w:rsid w:val="00481032"/>
    <w:rsid w:val="00493CCC"/>
    <w:rsid w:val="0049552E"/>
    <w:rsid w:val="004A0218"/>
    <w:rsid w:val="004A7840"/>
    <w:rsid w:val="004B545A"/>
    <w:rsid w:val="004B7E80"/>
    <w:rsid w:val="004C1596"/>
    <w:rsid w:val="004C457E"/>
    <w:rsid w:val="004C48D5"/>
    <w:rsid w:val="004D03B7"/>
    <w:rsid w:val="004D1436"/>
    <w:rsid w:val="004D57AE"/>
    <w:rsid w:val="004E0A65"/>
    <w:rsid w:val="004F07E8"/>
    <w:rsid w:val="005056D4"/>
    <w:rsid w:val="00526B2B"/>
    <w:rsid w:val="005362B0"/>
    <w:rsid w:val="00542447"/>
    <w:rsid w:val="00550714"/>
    <w:rsid w:val="00563796"/>
    <w:rsid w:val="00564312"/>
    <w:rsid w:val="005A2981"/>
    <w:rsid w:val="005C6937"/>
    <w:rsid w:val="005C7F02"/>
    <w:rsid w:val="005F0A86"/>
    <w:rsid w:val="005F144A"/>
    <w:rsid w:val="005F1C00"/>
    <w:rsid w:val="0061621E"/>
    <w:rsid w:val="0062366A"/>
    <w:rsid w:val="00630AA8"/>
    <w:rsid w:val="00630B2E"/>
    <w:rsid w:val="00643D2A"/>
    <w:rsid w:val="00664E11"/>
    <w:rsid w:val="00673432"/>
    <w:rsid w:val="00673B30"/>
    <w:rsid w:val="00696E5D"/>
    <w:rsid w:val="006B5B86"/>
    <w:rsid w:val="006C28AF"/>
    <w:rsid w:val="006C3F52"/>
    <w:rsid w:val="006C5908"/>
    <w:rsid w:val="006C633E"/>
    <w:rsid w:val="006D56AB"/>
    <w:rsid w:val="006D734F"/>
    <w:rsid w:val="006E043F"/>
    <w:rsid w:val="006E4695"/>
    <w:rsid w:val="006E4B8B"/>
    <w:rsid w:val="006E5901"/>
    <w:rsid w:val="0071091C"/>
    <w:rsid w:val="00714961"/>
    <w:rsid w:val="00743ACD"/>
    <w:rsid w:val="00744BD5"/>
    <w:rsid w:val="00745748"/>
    <w:rsid w:val="00750E36"/>
    <w:rsid w:val="00753CB0"/>
    <w:rsid w:val="00755460"/>
    <w:rsid w:val="00761FB7"/>
    <w:rsid w:val="00762107"/>
    <w:rsid w:val="00764CB9"/>
    <w:rsid w:val="00765B05"/>
    <w:rsid w:val="0077269F"/>
    <w:rsid w:val="00785088"/>
    <w:rsid w:val="00785F45"/>
    <w:rsid w:val="00795E87"/>
    <w:rsid w:val="007A2780"/>
    <w:rsid w:val="007A68EA"/>
    <w:rsid w:val="007B06FC"/>
    <w:rsid w:val="007B0FEF"/>
    <w:rsid w:val="007B2DB5"/>
    <w:rsid w:val="007C2C07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36B5E"/>
    <w:rsid w:val="008471B6"/>
    <w:rsid w:val="0084737D"/>
    <w:rsid w:val="00851521"/>
    <w:rsid w:val="0085686A"/>
    <w:rsid w:val="00860878"/>
    <w:rsid w:val="008653AB"/>
    <w:rsid w:val="008731FF"/>
    <w:rsid w:val="008816CB"/>
    <w:rsid w:val="0088294A"/>
    <w:rsid w:val="0089282A"/>
    <w:rsid w:val="008A4538"/>
    <w:rsid w:val="008A704B"/>
    <w:rsid w:val="008B08D2"/>
    <w:rsid w:val="008B4EE5"/>
    <w:rsid w:val="008B5807"/>
    <w:rsid w:val="008D5FA0"/>
    <w:rsid w:val="008E04B5"/>
    <w:rsid w:val="008E2D38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2B3"/>
    <w:rsid w:val="00980F02"/>
    <w:rsid w:val="00991B77"/>
    <w:rsid w:val="00997523"/>
    <w:rsid w:val="009A0C5D"/>
    <w:rsid w:val="009C3809"/>
    <w:rsid w:val="009C4672"/>
    <w:rsid w:val="009C491B"/>
    <w:rsid w:val="009D0911"/>
    <w:rsid w:val="009D24F8"/>
    <w:rsid w:val="009D688C"/>
    <w:rsid w:val="009D7B83"/>
    <w:rsid w:val="009E49CD"/>
    <w:rsid w:val="009F1CE6"/>
    <w:rsid w:val="009F276E"/>
    <w:rsid w:val="009F7A36"/>
    <w:rsid w:val="00A1524C"/>
    <w:rsid w:val="00A249C2"/>
    <w:rsid w:val="00A24FAB"/>
    <w:rsid w:val="00A301E7"/>
    <w:rsid w:val="00A31525"/>
    <w:rsid w:val="00A376AD"/>
    <w:rsid w:val="00A42E69"/>
    <w:rsid w:val="00A45CA7"/>
    <w:rsid w:val="00A51415"/>
    <w:rsid w:val="00A6014E"/>
    <w:rsid w:val="00A60356"/>
    <w:rsid w:val="00A61333"/>
    <w:rsid w:val="00A61A9C"/>
    <w:rsid w:val="00A66F2C"/>
    <w:rsid w:val="00A73838"/>
    <w:rsid w:val="00A81DF1"/>
    <w:rsid w:val="00A90EF3"/>
    <w:rsid w:val="00AA7717"/>
    <w:rsid w:val="00AB131E"/>
    <w:rsid w:val="00AB644F"/>
    <w:rsid w:val="00AB70C5"/>
    <w:rsid w:val="00AC3F5E"/>
    <w:rsid w:val="00AC5293"/>
    <w:rsid w:val="00AD37AF"/>
    <w:rsid w:val="00AE7ACF"/>
    <w:rsid w:val="00AF1ED9"/>
    <w:rsid w:val="00B06409"/>
    <w:rsid w:val="00B16C25"/>
    <w:rsid w:val="00B17D66"/>
    <w:rsid w:val="00B2080F"/>
    <w:rsid w:val="00B31FD9"/>
    <w:rsid w:val="00B35D3A"/>
    <w:rsid w:val="00B422F1"/>
    <w:rsid w:val="00B60377"/>
    <w:rsid w:val="00B71531"/>
    <w:rsid w:val="00B716CB"/>
    <w:rsid w:val="00B71F89"/>
    <w:rsid w:val="00B7456C"/>
    <w:rsid w:val="00B84131"/>
    <w:rsid w:val="00B8630E"/>
    <w:rsid w:val="00B931F4"/>
    <w:rsid w:val="00B95573"/>
    <w:rsid w:val="00B96395"/>
    <w:rsid w:val="00BA2AF8"/>
    <w:rsid w:val="00BB2650"/>
    <w:rsid w:val="00BB5BDC"/>
    <w:rsid w:val="00BB7B76"/>
    <w:rsid w:val="00BD233D"/>
    <w:rsid w:val="00BF4EF0"/>
    <w:rsid w:val="00C02E44"/>
    <w:rsid w:val="00C147D2"/>
    <w:rsid w:val="00C2075F"/>
    <w:rsid w:val="00C23799"/>
    <w:rsid w:val="00C274C9"/>
    <w:rsid w:val="00C31E02"/>
    <w:rsid w:val="00C45BC1"/>
    <w:rsid w:val="00C54291"/>
    <w:rsid w:val="00C623EC"/>
    <w:rsid w:val="00C672C3"/>
    <w:rsid w:val="00C712B2"/>
    <w:rsid w:val="00C94325"/>
    <w:rsid w:val="00C9681A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3ADC"/>
    <w:rsid w:val="00CE4849"/>
    <w:rsid w:val="00CE5C8E"/>
    <w:rsid w:val="00CE5F49"/>
    <w:rsid w:val="00D01626"/>
    <w:rsid w:val="00D13966"/>
    <w:rsid w:val="00D33A4D"/>
    <w:rsid w:val="00D33F76"/>
    <w:rsid w:val="00D41F5E"/>
    <w:rsid w:val="00D42E6E"/>
    <w:rsid w:val="00D43DC0"/>
    <w:rsid w:val="00D54E56"/>
    <w:rsid w:val="00D6407D"/>
    <w:rsid w:val="00D93E78"/>
    <w:rsid w:val="00DC6E91"/>
    <w:rsid w:val="00DC7514"/>
    <w:rsid w:val="00DD3845"/>
    <w:rsid w:val="00DD5039"/>
    <w:rsid w:val="00E1687A"/>
    <w:rsid w:val="00E20A2E"/>
    <w:rsid w:val="00E26582"/>
    <w:rsid w:val="00E277DE"/>
    <w:rsid w:val="00E27EE9"/>
    <w:rsid w:val="00E3239D"/>
    <w:rsid w:val="00E3254B"/>
    <w:rsid w:val="00E3439B"/>
    <w:rsid w:val="00E42C5F"/>
    <w:rsid w:val="00E61037"/>
    <w:rsid w:val="00E65A1B"/>
    <w:rsid w:val="00E72F1F"/>
    <w:rsid w:val="00E934AB"/>
    <w:rsid w:val="00EA06AC"/>
    <w:rsid w:val="00EA08BF"/>
    <w:rsid w:val="00EA24FB"/>
    <w:rsid w:val="00EA3F5E"/>
    <w:rsid w:val="00EB3204"/>
    <w:rsid w:val="00EB50BA"/>
    <w:rsid w:val="00EC3D33"/>
    <w:rsid w:val="00ED302A"/>
    <w:rsid w:val="00ED3A42"/>
    <w:rsid w:val="00EE02BC"/>
    <w:rsid w:val="00EE6970"/>
    <w:rsid w:val="00EF38D0"/>
    <w:rsid w:val="00EF3DDF"/>
    <w:rsid w:val="00EF4A8C"/>
    <w:rsid w:val="00F2678C"/>
    <w:rsid w:val="00F27B38"/>
    <w:rsid w:val="00F27E3D"/>
    <w:rsid w:val="00F40278"/>
    <w:rsid w:val="00F41832"/>
    <w:rsid w:val="00F51D34"/>
    <w:rsid w:val="00F56988"/>
    <w:rsid w:val="00F620FB"/>
    <w:rsid w:val="00F6571F"/>
    <w:rsid w:val="00F8687E"/>
    <w:rsid w:val="00F93331"/>
    <w:rsid w:val="00F95549"/>
    <w:rsid w:val="00FA1E24"/>
    <w:rsid w:val="00FA24FB"/>
    <w:rsid w:val="00FA632B"/>
    <w:rsid w:val="00FB38EA"/>
    <w:rsid w:val="00FB5E0F"/>
    <w:rsid w:val="00FB6AFF"/>
    <w:rsid w:val="00FC1740"/>
    <w:rsid w:val="00FC3929"/>
    <w:rsid w:val="00FC4D8F"/>
    <w:rsid w:val="00FD06D3"/>
    <w:rsid w:val="00FD7687"/>
    <w:rsid w:val="00FE3157"/>
    <w:rsid w:val="00FE6865"/>
    <w:rsid w:val="00FE6993"/>
    <w:rsid w:val="05590A06"/>
    <w:rsid w:val="0A9E2296"/>
    <w:rsid w:val="0EA82861"/>
    <w:rsid w:val="10A21DB9"/>
    <w:rsid w:val="18AF0B13"/>
    <w:rsid w:val="1C1D5B84"/>
    <w:rsid w:val="1CFD7480"/>
    <w:rsid w:val="1EF63BE6"/>
    <w:rsid w:val="238116C7"/>
    <w:rsid w:val="25E60302"/>
    <w:rsid w:val="260375F6"/>
    <w:rsid w:val="27EE4E38"/>
    <w:rsid w:val="28136DCA"/>
    <w:rsid w:val="2D5A6E03"/>
    <w:rsid w:val="2DF4184E"/>
    <w:rsid w:val="33A72FD6"/>
    <w:rsid w:val="33F660A3"/>
    <w:rsid w:val="345345E7"/>
    <w:rsid w:val="387B28E9"/>
    <w:rsid w:val="3DD21254"/>
    <w:rsid w:val="41B74E97"/>
    <w:rsid w:val="42BC196F"/>
    <w:rsid w:val="43E517F0"/>
    <w:rsid w:val="48D77474"/>
    <w:rsid w:val="49843C3D"/>
    <w:rsid w:val="4E4F0C03"/>
    <w:rsid w:val="52B6179E"/>
    <w:rsid w:val="535D4153"/>
    <w:rsid w:val="5D7A63E2"/>
    <w:rsid w:val="615359F4"/>
    <w:rsid w:val="63012783"/>
    <w:rsid w:val="6A7C3A5A"/>
    <w:rsid w:val="73F63560"/>
    <w:rsid w:val="74C378C8"/>
    <w:rsid w:val="79001624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8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2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40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6"/>
    <w:unhideWhenUsed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4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43"/>
    <w:unhideWhenUsed/>
    <w:uiPriority w:val="0"/>
    <w:rPr>
      <w:sz w:val="18"/>
      <w:szCs w:val="18"/>
    </w:rPr>
  </w:style>
  <w:style w:type="paragraph" w:styleId="8">
    <w:name w:val="footer"/>
    <w:basedOn w:val="1"/>
    <w:link w:val="2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4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9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5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0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paragraph" w:customStyle="1" w:styleId="21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2">
    <w:name w:val="Revision"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List Paragraph"/>
    <w:basedOn w:val="1"/>
    <w:qFormat/>
    <w:uiPriority w:val="34"/>
    <w:pPr>
      <w:ind w:firstLine="420" w:firstLineChars="200"/>
    </w:pPr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7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8">
    <w:name w:val="页脚 Char"/>
    <w:basedOn w:val="13"/>
    <w:link w:val="8"/>
    <w:uiPriority w:val="99"/>
    <w:rPr>
      <w:sz w:val="18"/>
      <w:szCs w:val="18"/>
    </w:rPr>
  </w:style>
  <w:style w:type="character" w:customStyle="1" w:styleId="29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0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31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2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3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34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35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6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37">
    <w:name w:val="脚注文本 Char2"/>
    <w:basedOn w:val="13"/>
    <w:semiHidden/>
    <w:qFormat/>
    <w:uiPriority w:val="99"/>
    <w:rPr>
      <w:sz w:val="18"/>
      <w:szCs w:val="18"/>
    </w:rPr>
  </w:style>
  <w:style w:type="character" w:customStyle="1" w:styleId="38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9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40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41">
    <w:name w:val="页眉 Char"/>
    <w:basedOn w:val="13"/>
    <w:link w:val="9"/>
    <w:uiPriority w:val="99"/>
    <w:rPr>
      <w:sz w:val="18"/>
      <w:szCs w:val="18"/>
    </w:rPr>
  </w:style>
  <w:style w:type="character" w:customStyle="1" w:styleId="42">
    <w:name w:val="批注文字 Char"/>
    <w:basedOn w:val="13"/>
    <w:link w:val="6"/>
    <w:semiHidden/>
    <w:uiPriority w:val="0"/>
    <w:rPr>
      <w:rFonts w:ascii="Calibri" w:hAnsi="Calibri" w:eastAsia="宋体" w:cs="Times New Roman"/>
    </w:rPr>
  </w:style>
  <w:style w:type="character" w:customStyle="1" w:styleId="43">
    <w:name w:val="批注框文本 Char"/>
    <w:basedOn w:val="13"/>
    <w:link w:val="7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400</Words>
  <Characters>2283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2020-02-26T11:29:00Z</dcterms:created>
  <dc:creator>裴建君2</dc:creator>
  <cp:lastModifiedBy>丁蒙/办公室/南宁/PBC</cp:lastModifiedBy>
  <cp:lastPrinted>2017-12-26T09:10:00Z</cp:lastPrinted>
  <dcterms:modified xsi:type="dcterms:W3CDTF">2022-07-01T00:58:44Z</dcterms:modified>
  <dc:title>编号：57014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