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jc w:val="left"/>
        <w:rPr>
          <w:rFonts w:hint="eastAsia" w:ascii="黑体" w:hAnsi="黑体" w:eastAsia="黑体" w:cs="黑体"/>
          <w:color w:val="auto"/>
          <w:sz w:val="30"/>
          <w:szCs w:val="30"/>
        </w:rPr>
      </w:pPr>
      <w:r>
        <w:rPr>
          <w:rFonts w:hint="eastAsia" w:ascii="黑体" w:hAnsi="黑体" w:eastAsia="黑体" w:cs="黑体"/>
          <w:color w:val="auto"/>
          <w:sz w:val="30"/>
          <w:szCs w:val="30"/>
        </w:rPr>
        <w:t xml:space="preserve">编号：57001-2              </w:t>
      </w: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52"/>
          <w:szCs w:val="52"/>
        </w:rPr>
      </w:pPr>
    </w:p>
    <w:p>
      <w:pPr>
        <w:ind w:right="300"/>
        <w:jc w:val="center"/>
        <w:rPr>
          <w:rFonts w:ascii="Times New Roman" w:hAnsi="Times New Roman" w:eastAsia="黑体" w:cs="Times New Roman"/>
          <w:color w:val="auto"/>
          <w:sz w:val="52"/>
          <w:szCs w:val="52"/>
        </w:rPr>
      </w:pPr>
      <w:r>
        <w:rPr>
          <w:rFonts w:ascii="Times New Roman" w:hAnsi="Times New Roman" w:eastAsia="黑体" w:cs="Times New Roman"/>
          <w:color w:val="auto"/>
          <w:sz w:val="52"/>
          <w:szCs w:val="52"/>
        </w:rPr>
        <w:t xml:space="preserve">“进口付汇事前审核” </w:t>
      </w:r>
    </w:p>
    <w:p>
      <w:pPr>
        <w:ind w:right="300"/>
        <w:jc w:val="center"/>
        <w:rPr>
          <w:rFonts w:ascii="Times New Roman" w:hAnsi="Times New Roman" w:eastAsia="黑体" w:cs="Times New Roman"/>
          <w:color w:val="auto"/>
          <w:sz w:val="52"/>
          <w:szCs w:val="52"/>
        </w:rPr>
      </w:pPr>
      <w:r>
        <w:rPr>
          <w:rFonts w:ascii="Times New Roman" w:hAnsi="Times New Roman" w:eastAsia="黑体" w:cs="Times New Roman"/>
          <w:color w:val="auto"/>
          <w:sz w:val="52"/>
          <w:szCs w:val="52"/>
        </w:rPr>
        <w:t>行政审批服务指南</w:t>
      </w: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11"/>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color w:val="auto"/>
          <w:sz w:val="30"/>
          <w:szCs w:val="30"/>
        </w:rPr>
      </w:pPr>
      <w:r>
        <w:rPr>
          <w:rFonts w:hint="eastAsia" w:ascii="宋体" w:hAnsi="宋体" w:eastAsia="宋体" w:cs="宋体"/>
          <w:b w:val="0"/>
          <w:bCs w:val="0"/>
          <w:color w:val="auto"/>
          <w:sz w:val="40"/>
          <w:szCs w:val="40"/>
          <w:lang w:val="en-US" w:eastAsia="zh-CN"/>
        </w:rPr>
        <w:t>202</w:t>
      </w:r>
      <w:r>
        <w:rPr>
          <w:rFonts w:hint="eastAsia" w:ascii="宋体" w:hAnsi="宋体" w:cs="宋体"/>
          <w:b w:val="0"/>
          <w:bCs w:val="0"/>
          <w:color w:val="auto"/>
          <w:sz w:val="40"/>
          <w:szCs w:val="40"/>
          <w:lang w:val="en-US" w:eastAsia="zh-CN"/>
        </w:rPr>
        <w:t>2</w:t>
      </w:r>
      <w:r>
        <w:rPr>
          <w:rFonts w:hint="eastAsia" w:ascii="宋体" w:hAnsi="宋体" w:eastAsia="宋体" w:cs="宋体"/>
          <w:b w:val="0"/>
          <w:bCs w:val="0"/>
          <w:color w:val="auto"/>
          <w:sz w:val="40"/>
          <w:szCs w:val="40"/>
          <w:lang w:val="en-US" w:eastAsia="zh-CN"/>
        </w:rPr>
        <w:t>年</w:t>
      </w:r>
      <w:r>
        <w:rPr>
          <w:rFonts w:hint="eastAsia" w:ascii="宋体" w:hAnsi="宋体" w:cs="宋体"/>
          <w:b w:val="0"/>
          <w:bCs w:val="0"/>
          <w:color w:val="auto"/>
          <w:sz w:val="40"/>
          <w:szCs w:val="40"/>
          <w:lang w:val="en-US" w:eastAsia="zh-CN"/>
        </w:rPr>
        <w:t>6</w:t>
      </w:r>
      <w:bookmarkStart w:id="0" w:name="_GoBack"/>
      <w:bookmarkEnd w:id="0"/>
      <w:r>
        <w:rPr>
          <w:rFonts w:hint="eastAsia" w:ascii="宋体" w:hAnsi="宋体" w:eastAsia="宋体" w:cs="宋体"/>
          <w:b w:val="0"/>
          <w:bCs w:val="0"/>
          <w:color w:val="auto"/>
          <w:sz w:val="40"/>
          <w:szCs w:val="40"/>
          <w:lang w:val="en-US" w:eastAsia="zh-CN"/>
        </w:rPr>
        <w:t>月</w:t>
      </w:r>
    </w:p>
    <w:p>
      <w:pPr>
        <w:ind w:right="300"/>
        <w:jc w:val="center"/>
        <w:rPr>
          <w:rFonts w:ascii="Times New Roman" w:hAnsi="Times New Roman" w:eastAsia="仿宋_GB2312" w:cs="Times New Roman"/>
          <w:color w:val="auto"/>
          <w:sz w:val="30"/>
          <w:szCs w:val="30"/>
        </w:rPr>
      </w:pPr>
    </w:p>
    <w:p>
      <w:pPr>
        <w:ind w:right="300"/>
        <w:rPr>
          <w:rFonts w:ascii="Times New Roman" w:hAnsi="Times New Roman" w:eastAsia="仿宋_GB2312" w:cs="Times New Roman"/>
          <w:color w:val="auto"/>
          <w:sz w:val="30"/>
          <w:szCs w:val="30"/>
        </w:rPr>
        <w:sectPr>
          <w:footerReference r:id="rId4" w:type="default"/>
          <w:pgSz w:w="11906" w:h="16838"/>
          <w:pgMar w:top="1440" w:right="1800" w:bottom="1440" w:left="1800" w:header="851" w:footer="992" w:gutter="0"/>
          <w:cols w:space="720" w:num="1"/>
          <w:docGrid w:type="lines" w:linePitch="312" w:charSpace="0"/>
        </w:sectPr>
      </w:pPr>
    </w:p>
    <w:p>
      <w:pPr>
        <w:jc w:val="left"/>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 xml:space="preserve">    一、项目信息</w:t>
      </w:r>
    </w:p>
    <w:p>
      <w:pPr>
        <w:ind w:firstLine="585"/>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项目名称：进口单位进口付汇核查；</w:t>
      </w:r>
    </w:p>
    <w:p>
      <w:pPr>
        <w:ind w:firstLine="585"/>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项目编号：57001；</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子项名称：进口付汇事前审核；</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审批类别：行政许可。</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二、适用范围</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本指南适用于“进口付汇事前审核”的申请和办理。</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三、设定依据</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中华人民共和国外汇管理条例》（国务院令第532号）第十二条：“经常项目外汇收支应当具有真实、合法的交易基础。经营结汇、售汇业务的金融机构应当按照国务院外汇管理部门的规定，对交易单证的真实性及其与外汇收支的一致性进行合理审查。外汇管理机关有权对前款规定事项进行监督检查。”</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（二）《国务院对确需保留的行政审批项目设定行政许可的决定》（国务院令第412号）附件第490项“进口单位进口付汇备案核准”。</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四、办理依据</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（一）《中华人民共和国外汇管理条例》（国务院令第532号）；</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（二）《国家外汇管理局关于印发货物贸易外汇管理法规有关问题的通知》（汇发〔2012〕38号）；</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（三）《国家外汇管理局关于印发〈跨国公司跨境资金集中运营管理规定〉的通知》（汇发〔2019〕7号）；</w:t>
      </w:r>
    </w:p>
    <w:p>
      <w:pPr>
        <w:ind w:firstLine="600" w:firstLineChars="200"/>
        <w:rPr>
          <w:rFonts w:ascii="Times New Roman" w:hAnsi="Times New Roman" w:eastAsia="仿宋_GB2312" w:cs="Times New Roman"/>
          <w:color w:val="auto"/>
          <w:sz w:val="30"/>
          <w:szCs w:val="30"/>
          <w:lang w:bidi="zh-CN"/>
        </w:rPr>
      </w:pPr>
      <w:r>
        <w:rPr>
          <w:rFonts w:ascii="Times New Roman" w:hAnsi="Times New Roman" w:eastAsia="仿宋_GB2312" w:cs="Times New Roman"/>
          <w:color w:val="auto"/>
          <w:sz w:val="30"/>
          <w:szCs w:val="30"/>
        </w:rPr>
        <w:t>（四）</w:t>
      </w:r>
      <w:r>
        <w:rPr>
          <w:rFonts w:ascii="Times New Roman" w:hAnsi="Times New Roman" w:eastAsia="仿宋_GB2312" w:cs="Times New Roman"/>
          <w:color w:val="auto"/>
          <w:sz w:val="30"/>
          <w:szCs w:val="30"/>
          <w:lang w:bidi="zh-CN"/>
        </w:rPr>
        <w:t>《国家外汇管理局关于优化外汇管理 支持涉外业务发展的通知》（汇发〔2020〕8号）；</w:t>
      </w:r>
    </w:p>
    <w:p>
      <w:pPr>
        <w:ind w:firstLine="600" w:firstLineChars="200"/>
        <w:rPr>
          <w:rFonts w:ascii="Times New Roman" w:hAnsi="Times New Roman" w:eastAsia="仿宋_GB2312" w:cs="Times New Roman"/>
          <w:color w:val="auto"/>
          <w:sz w:val="30"/>
          <w:szCs w:val="30"/>
          <w:lang w:bidi="zh-CN"/>
        </w:rPr>
      </w:pPr>
      <w:r>
        <w:rPr>
          <w:rFonts w:ascii="Times New Roman" w:hAnsi="Times New Roman" w:eastAsia="仿宋_GB2312" w:cs="Times New Roman"/>
          <w:color w:val="auto"/>
          <w:sz w:val="30"/>
          <w:szCs w:val="30"/>
        </w:rPr>
        <w:t>（五）《国家外汇管理局关于印发〈经常项目外汇业务指引（2020年版）〉的通知》（汇发〔2020〕14号）</w:t>
      </w:r>
      <w:r>
        <w:rPr>
          <w:rFonts w:ascii="Times New Roman" w:hAnsi="Times New Roman" w:eastAsia="仿宋_GB2312" w:cs="Times New Roman"/>
          <w:color w:val="auto"/>
          <w:sz w:val="30"/>
          <w:szCs w:val="30"/>
          <w:lang w:bidi="zh-CN"/>
        </w:rPr>
        <w:t>。</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五、受理机构</w:t>
      </w:r>
    </w:p>
    <w:p>
      <w:pPr>
        <w:ind w:firstLine="600" w:firstLineChars="200"/>
        <w:rPr>
          <w:rFonts w:ascii="Times New Roman" w:hAnsi="Times New Roman" w:eastAsia="黑体" w:cs="Times New Roman"/>
          <w:color w:val="auto"/>
          <w:sz w:val="30"/>
          <w:szCs w:val="30"/>
        </w:rPr>
      </w:pPr>
      <w:r>
        <w:rPr>
          <w:rFonts w:ascii="Times New Roman" w:hAnsi="Times New Roman" w:eastAsia="仿宋_GB2312" w:cs="Times New Roman"/>
          <w:color w:val="auto"/>
          <w:sz w:val="30"/>
          <w:szCs w:val="30"/>
        </w:rPr>
        <w:t>申请人注册所在地国家外汇管理局分支局。</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六、决定机构</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跨国公司资金集中运营-经常项目资金集中收付和轧差净额结算业务相关行政许可的决定机构为申请人注册所在地国家外汇管理局分局</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其他行政许可的决定机构为申请人注册所在地国家外汇管理局分支局。</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七、审批数量</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无数量限制。</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八、办事条件</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（一）申请人条件</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1.C类企业；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2.超过付汇额度的B类企业；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3.发生90天以上（不含）延期付款的B类企业；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4.办理退汇日期与原收、付款日期间隔在180天以上（不含）或由于特殊情况无法原路退回的退汇业务时，A类企业单笔等值5万美元以上（不含）或B、C类企业；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5.办理经常项目资金集中收付和轧差净额结算业务的跨国公司主办企业；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6.办理新出现的贸易新业态外汇支出业务的企业。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（二）具备或符合如下条件的，准予批准</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1.对于C类企业：</w:t>
      </w:r>
    </w:p>
    <w:p>
      <w:pPr>
        <w:ind w:firstLine="600" w:firstLineChars="200"/>
        <w:contextualSpacing/>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交易合规：C类企业原则上不得办理90天以上（不含）的远期信用证（含展期）、海外代付等进口贸易融资业务；不得办理90天以上（不含）的延期付款、托收业务；不得办理离岸转手买卖外汇支出；</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2.对于超过付汇额度的B类企业：</w:t>
      </w:r>
    </w:p>
    <w:p>
      <w:pPr>
        <w:ind w:firstLine="600" w:firstLineChars="200"/>
        <w:contextualSpacing/>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交易合规：B类企业原则上不得办理90天以上（不含）的延期付款业务；不得办理离岸转手买卖外汇支出；</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3.对于90天以上（不含）延期付款的B类企业：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交易合规：在分类监管有效期内，此前导致降级的情况已改善或纠正，且没有发生法规规定情形的，自列入B类之日起6个月后，可经外汇局登记办理该业务。</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4.对于超期限或无法原路退汇的企业：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交易合规。</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5.对于办理经常项目资金集中收付和轧差净额结算业务的跨国公司主办企业：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（1）具备真实业务需求；</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（2）具有完善的跨境资金管理架构、内控制度；</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（3）建立相应的内部管理电子系统；</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（4）上年度本外币国际收支规模超过1亿美元（参加跨境资金集中运营业务的境内成员企业合并计算）；</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（5）近三年无重大外汇违法违规行为（成立不满三年的企业，自成立之日起无重大外汇违规行为）；</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（6）主办企业和境内成员企业如为贸易外汇收支名录内企业，货物贸易分类结果应为A类；</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（7）国家外汇管理局规定的其他审慎监管条件。</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6.对于新出现的贸易新业态外汇支出业务：</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交易合规。</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禁止性要求：1.申请材料不齐全，不符合法规规定。</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 xml:space="preserve">            2.申请业务不具有真实、合法的交易背景。</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九、申请材料</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（一）C类企业进口付汇登记申请材料清单</w:t>
      </w:r>
    </w:p>
    <w:tbl>
      <w:tblPr>
        <w:tblStyle w:val="8"/>
        <w:tblW w:w="87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6"/>
        <w:gridCol w:w="2346"/>
        <w:gridCol w:w="1417"/>
        <w:gridCol w:w="425"/>
        <w:gridCol w:w="851"/>
        <w:gridCol w:w="2268"/>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234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425"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226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99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234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说明需登记的事项和具体内容。对于贸易收汇的退汇支付，应在书面申请中具体说明退汇原因以及退汇同时是否发生货物退运。</w:t>
            </w:r>
          </w:p>
        </w:tc>
        <w:tc>
          <w:tcPr>
            <w:tcW w:w="992" w:type="dxa"/>
            <w:vMerge w:val="restart"/>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对于代理进口业务，代理方为C类企业的，应当按规定办理贸易外汇支出登记。</w:t>
            </w:r>
          </w:p>
          <w:p>
            <w:pPr>
              <w:jc w:val="cente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2346" w:type="dxa"/>
            <w:vAlign w:val="center"/>
          </w:tcPr>
          <w:p>
            <w:pPr>
              <w:jc w:val="center"/>
              <w:rPr>
                <w:rFonts w:ascii="Times New Roman" w:hAnsi="Times New Roman" w:eastAsia="仿宋_GB2312" w:cs="Times New Roman"/>
                <w:b/>
                <w:bCs/>
                <w:color w:val="auto"/>
                <w:kern w:val="44"/>
                <w:sz w:val="24"/>
                <w:szCs w:val="24"/>
              </w:rPr>
            </w:pPr>
            <w:r>
              <w:rPr>
                <w:rFonts w:ascii="Times New Roman" w:hAnsi="Times New Roman" w:eastAsia="仿宋_GB2312" w:cs="Times New Roman"/>
                <w:color w:val="auto"/>
                <w:sz w:val="24"/>
                <w:szCs w:val="24"/>
              </w:rPr>
              <w:t>合同</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1.一般情况应提交进口合同；2.对于贸易收汇的退汇支付，因错误汇入以外的其他原因产生的，提交原出口合同。</w:t>
            </w:r>
          </w:p>
        </w:tc>
        <w:tc>
          <w:tcPr>
            <w:tcW w:w="992"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234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发票</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预付货款方式结算时提供发票。</w:t>
            </w:r>
          </w:p>
        </w:tc>
        <w:tc>
          <w:tcPr>
            <w:tcW w:w="992"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234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报关单</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1.除信用证、托收、预付货款外其他方式结算，货物已进口报关的，需提供报关单，货物不报关的，可提供运输单据等其他材料；2.发生货物退运而产生贸易收汇退汇支付时应提供。 </w:t>
            </w:r>
          </w:p>
        </w:tc>
        <w:tc>
          <w:tcPr>
            <w:tcW w:w="992"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5</w:t>
            </w:r>
          </w:p>
        </w:tc>
        <w:tc>
          <w:tcPr>
            <w:tcW w:w="234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捐赠协议</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对于进口与支出主体不一致的业务，属于捐赠进口业务的，应提交捐赠协议。</w:t>
            </w:r>
          </w:p>
        </w:tc>
        <w:tc>
          <w:tcPr>
            <w:tcW w:w="992"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6</w:t>
            </w:r>
          </w:p>
        </w:tc>
        <w:tc>
          <w:tcPr>
            <w:tcW w:w="234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分立、合并证明文件</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因企业分立、合并原因导致进口与支出主体不一致的，应提交相关部门出具的分立、合并证明文件。 </w:t>
            </w:r>
          </w:p>
        </w:tc>
        <w:tc>
          <w:tcPr>
            <w:tcW w:w="992"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7</w:t>
            </w:r>
          </w:p>
        </w:tc>
        <w:tc>
          <w:tcPr>
            <w:tcW w:w="2346" w:type="dxa"/>
            <w:vAlign w:val="center"/>
          </w:tcPr>
          <w:p>
            <w:pPr>
              <w:jc w:val="center"/>
              <w:rPr>
                <w:rStyle w:val="15"/>
                <w:rFonts w:ascii="Times New Roman" w:hAnsi="Times New Roman" w:cs="Times New Roman"/>
                <w:color w:val="auto"/>
              </w:rPr>
            </w:pPr>
            <w:r>
              <w:rPr>
                <w:rFonts w:ascii="Times New Roman" w:hAnsi="Times New Roman" w:eastAsia="仿宋_GB2312" w:cs="Times New Roman"/>
                <w:color w:val="auto"/>
                <w:sz w:val="24"/>
                <w:szCs w:val="24"/>
              </w:rPr>
              <w:t>原收汇凭证</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宋体" w:cs="Times New Roman"/>
                <w:color w:val="auto"/>
                <w:kern w:val="0"/>
                <w:sz w:val="24"/>
                <w:szCs w:val="24"/>
              </w:rPr>
            </w:pPr>
            <w:r>
              <w:rPr>
                <w:rFonts w:ascii="Times New Roman" w:hAnsi="Times New Roman" w:eastAsia="仿宋_GB2312" w:cs="Times New Roman"/>
                <w:color w:val="auto"/>
                <w:sz w:val="24"/>
                <w:szCs w:val="24"/>
              </w:rPr>
              <w:t>贸易收汇退汇时提供原收汇凭证。</w:t>
            </w:r>
          </w:p>
        </w:tc>
        <w:tc>
          <w:tcPr>
            <w:tcW w:w="992"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8</w:t>
            </w:r>
          </w:p>
        </w:tc>
        <w:tc>
          <w:tcPr>
            <w:tcW w:w="2346" w:type="dxa"/>
            <w:vAlign w:val="center"/>
          </w:tcPr>
          <w:p>
            <w:pPr>
              <w:jc w:val="center"/>
              <w:rPr>
                <w:rStyle w:val="15"/>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退汇协议、错汇说明等证明付汇真实性的材料</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2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widowControl/>
              <w:jc w:val="left"/>
              <w:rPr>
                <w:rFonts w:ascii="Times New Roman" w:hAnsi="Times New Roman" w:eastAsia="仿宋_GB2312" w:cs="Times New Roman"/>
                <w:color w:val="auto"/>
                <w:kern w:val="0"/>
                <w:sz w:val="24"/>
                <w:szCs w:val="24"/>
              </w:rPr>
            </w:pPr>
          </w:p>
        </w:tc>
        <w:tc>
          <w:tcPr>
            <w:tcW w:w="992" w:type="dxa"/>
            <w:vMerge w:val="continue"/>
            <w:vAlign w:val="top"/>
          </w:tcPr>
          <w:p>
            <w:pPr>
              <w:rPr>
                <w:rFonts w:ascii="Times New Roman" w:hAnsi="Times New Roman" w:eastAsia="仿宋_GB2312" w:cs="Times New Roman"/>
                <w:color w:val="auto"/>
                <w:sz w:val="24"/>
                <w:szCs w:val="24"/>
              </w:rPr>
            </w:pPr>
          </w:p>
        </w:tc>
      </w:tr>
    </w:tbl>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（二）超过付汇额度的B类企业进口付汇登记申请材料清单</w:t>
      </w:r>
    </w:p>
    <w:tbl>
      <w:tblPr>
        <w:tblStyle w:val="8"/>
        <w:tblW w:w="87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352"/>
        <w:gridCol w:w="1244"/>
        <w:gridCol w:w="457"/>
        <w:gridCol w:w="851"/>
        <w:gridCol w:w="3218"/>
        <w:gridCol w:w="11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35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244"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321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17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说明为B类企业及具有超过可付汇额度付汇需要。</w:t>
            </w:r>
          </w:p>
        </w:tc>
        <w:tc>
          <w:tcPr>
            <w:tcW w:w="1176" w:type="dxa"/>
            <w:vMerge w:val="restart"/>
            <w:vAlign w:val="center"/>
          </w:tcPr>
          <w:p>
            <w:pPr>
              <w:rPr>
                <w:rFonts w:ascii="Times New Roman" w:hAnsi="Times New Roman" w:eastAsia="仿宋_GB2312" w:cs="Times New Roman"/>
                <w:color w:val="auto"/>
                <w:sz w:val="24"/>
                <w:szCs w:val="24"/>
              </w:rPr>
            </w:pPr>
          </w:p>
          <w:p>
            <w:pPr>
              <w:rPr>
                <w:rFonts w:ascii="Times New Roman" w:hAnsi="Times New Roman" w:eastAsia="仿宋_GB2312" w:cs="Times New Roman"/>
                <w:color w:val="auto"/>
                <w:sz w:val="24"/>
                <w:szCs w:val="24"/>
              </w:rPr>
            </w:pPr>
          </w:p>
          <w:p>
            <w:pPr>
              <w:rPr>
                <w:rFonts w:ascii="Times New Roman" w:hAnsi="Times New Roman" w:eastAsia="仿宋_GB2312" w:cs="Times New Roman"/>
                <w:color w:val="auto"/>
                <w:sz w:val="24"/>
                <w:szCs w:val="24"/>
              </w:rPr>
            </w:pPr>
          </w:p>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对于代理业务，代理方为B类企业且可付汇额度不足的，应当按规定办理贸易外汇支出登记。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可付汇额度不足的证明材料</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keepNext/>
              <w:keepLines/>
              <w:spacing w:before="340" w:after="330" w:line="578" w:lineRule="auto"/>
              <w:rPr>
                <w:rFonts w:ascii="Times New Roman" w:hAnsi="Times New Roman" w:eastAsia="仿宋_GB2312" w:cs="Times New Roman"/>
                <w:color w:val="auto"/>
                <w:sz w:val="24"/>
                <w:szCs w:val="24"/>
              </w:rPr>
            </w:pPr>
          </w:p>
        </w:tc>
        <w:tc>
          <w:tcPr>
            <w:tcW w:w="1176" w:type="dxa"/>
            <w:vMerge w:val="continue"/>
            <w:vAlign w:val="center"/>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合同</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 一般情况应提交进口合同；2.对于贸易收汇的退汇支付，因错误汇入以外的其他原因产生的，提交原出口合同。</w:t>
            </w:r>
          </w:p>
        </w:tc>
        <w:tc>
          <w:tcPr>
            <w:tcW w:w="1176" w:type="dxa"/>
            <w:vMerge w:val="continue"/>
            <w:vAlign w:val="center"/>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发票</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预付货款方式结算时提供发票。</w:t>
            </w:r>
          </w:p>
        </w:tc>
        <w:tc>
          <w:tcPr>
            <w:tcW w:w="1176"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5</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报关单</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 除信用证、托收、预付货款外其他方式结算的，货物已进口报关的，需提供报关单，货物不报关的，可提供运输单据等其他材料；2.发生货物退运而产生贸易收汇退汇支付时应提供。</w:t>
            </w:r>
          </w:p>
        </w:tc>
        <w:tc>
          <w:tcPr>
            <w:tcW w:w="1176"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6</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捐赠协议</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对于进口与支出主体不一致的业务，属于捐赠进口业务的，应提交捐赠协议。</w:t>
            </w:r>
          </w:p>
        </w:tc>
        <w:tc>
          <w:tcPr>
            <w:tcW w:w="1176"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7</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分立、合并证明文件</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因企业分立、合并原因导致进口与支出主体不一致的，应提交相关部门出具的分立、合并证明文件。 </w:t>
            </w:r>
          </w:p>
        </w:tc>
        <w:tc>
          <w:tcPr>
            <w:tcW w:w="1176"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8</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原收汇凭证</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贸易收汇退汇时提供原收汇凭证。</w:t>
            </w:r>
          </w:p>
        </w:tc>
        <w:tc>
          <w:tcPr>
            <w:tcW w:w="1176" w:type="dxa"/>
            <w:vMerge w:val="continue"/>
            <w:vAlign w:val="top"/>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9</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退汇协议、错汇说明等证明付汇真实性的材料</w:t>
            </w:r>
          </w:p>
        </w:tc>
        <w:tc>
          <w:tcPr>
            <w:tcW w:w="124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keepNext/>
              <w:keepLines/>
              <w:spacing w:before="340" w:after="330" w:line="578" w:lineRule="auto"/>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3218" w:type="dxa"/>
            <w:vAlign w:val="center"/>
          </w:tcPr>
          <w:p>
            <w:pPr>
              <w:rPr>
                <w:rFonts w:ascii="Times New Roman" w:hAnsi="Times New Roman" w:eastAsia="仿宋_GB2312" w:cs="Times New Roman"/>
                <w:color w:val="auto"/>
                <w:sz w:val="24"/>
                <w:szCs w:val="24"/>
              </w:rPr>
            </w:pPr>
          </w:p>
        </w:tc>
        <w:tc>
          <w:tcPr>
            <w:tcW w:w="1176" w:type="dxa"/>
            <w:vMerge w:val="continue"/>
            <w:vAlign w:val="top"/>
          </w:tcPr>
          <w:p>
            <w:pPr>
              <w:rPr>
                <w:rFonts w:ascii="Times New Roman" w:hAnsi="Times New Roman" w:eastAsia="仿宋_GB2312" w:cs="Times New Roman"/>
                <w:color w:val="auto"/>
                <w:sz w:val="24"/>
                <w:szCs w:val="24"/>
              </w:rPr>
            </w:pPr>
          </w:p>
        </w:tc>
      </w:tr>
    </w:tbl>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（三）90天以上延期付款的B类企业进口付汇登记申请材料清单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352"/>
        <w:gridCol w:w="1985"/>
        <w:gridCol w:w="992"/>
        <w:gridCol w:w="851"/>
        <w:gridCol w:w="1701"/>
        <w:gridCol w:w="1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35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985"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99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275"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198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说明需登记的事项和具体内容。 </w:t>
            </w:r>
          </w:p>
        </w:tc>
        <w:tc>
          <w:tcPr>
            <w:tcW w:w="1275" w:type="dxa"/>
            <w:vMerge w:val="restart"/>
            <w:vAlign w:val="center"/>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进口合同</w:t>
            </w:r>
          </w:p>
        </w:tc>
        <w:tc>
          <w:tcPr>
            <w:tcW w:w="198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keepNext/>
              <w:keepLines/>
              <w:spacing w:before="340" w:after="330" w:line="578" w:lineRule="auto"/>
              <w:rPr>
                <w:rFonts w:ascii="Times New Roman" w:hAnsi="Times New Roman" w:eastAsia="仿宋_GB2312" w:cs="Times New Roman"/>
                <w:color w:val="auto"/>
                <w:sz w:val="24"/>
                <w:szCs w:val="24"/>
              </w:rPr>
            </w:pPr>
          </w:p>
        </w:tc>
        <w:tc>
          <w:tcPr>
            <w:tcW w:w="1275"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135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进口货物报关单</w:t>
            </w:r>
          </w:p>
        </w:tc>
        <w:tc>
          <w:tcPr>
            <w:tcW w:w="198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货物不报关的可提供运输单据等其他材料</w:t>
            </w:r>
          </w:p>
        </w:tc>
        <w:tc>
          <w:tcPr>
            <w:tcW w:w="1275"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1352" w:type="dxa"/>
            <w:vAlign w:val="center"/>
          </w:tcPr>
          <w:p>
            <w:pPr>
              <w:widowControl/>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kern w:val="0"/>
                <w:sz w:val="24"/>
                <w:szCs w:val="24"/>
              </w:rPr>
              <w:t>需90天以上延期付款的证明材料</w:t>
            </w:r>
          </w:p>
        </w:tc>
        <w:tc>
          <w:tcPr>
            <w:tcW w:w="1985"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keepNext/>
              <w:keepLines/>
              <w:spacing w:before="340" w:after="330" w:line="578" w:lineRule="auto"/>
              <w:rPr>
                <w:rFonts w:ascii="Times New Roman" w:hAnsi="Times New Roman" w:eastAsia="仿宋_GB2312" w:cs="Times New Roman"/>
                <w:color w:val="auto"/>
                <w:sz w:val="24"/>
                <w:szCs w:val="24"/>
              </w:rPr>
            </w:pPr>
          </w:p>
        </w:tc>
        <w:tc>
          <w:tcPr>
            <w:tcW w:w="1275"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bl>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（四）超期限或无法原路退汇的企业付汇登记申请材料清单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2486"/>
        <w:gridCol w:w="993"/>
        <w:gridCol w:w="457"/>
        <w:gridCol w:w="818"/>
        <w:gridCol w:w="1701"/>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248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993"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1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248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99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1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说明需要登记事项的具体内容，超期限或无法原路退汇的原因，退汇同时是否发生货物退运。</w:t>
            </w:r>
          </w:p>
        </w:tc>
        <w:tc>
          <w:tcPr>
            <w:tcW w:w="1701" w:type="dxa"/>
            <w:vMerge w:val="restart"/>
            <w:vAlign w:val="center"/>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248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超期限或无法原路退汇的证明材料</w:t>
            </w:r>
          </w:p>
        </w:tc>
        <w:tc>
          <w:tcPr>
            <w:tcW w:w="99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1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keepNext/>
              <w:keepLines/>
              <w:spacing w:before="340" w:after="330" w:line="578" w:lineRule="auto"/>
              <w:rPr>
                <w:rFonts w:ascii="Times New Roman" w:hAnsi="Times New Roman" w:eastAsia="仿宋_GB2312" w:cs="Times New Roman"/>
                <w:color w:val="auto"/>
                <w:sz w:val="24"/>
                <w:szCs w:val="24"/>
              </w:rPr>
            </w:pPr>
          </w:p>
        </w:tc>
        <w:tc>
          <w:tcPr>
            <w:tcW w:w="1701" w:type="dxa"/>
            <w:vMerge w:val="continue"/>
            <w:vAlign w:val="center"/>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248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原收汇凭证</w:t>
            </w:r>
          </w:p>
        </w:tc>
        <w:tc>
          <w:tcPr>
            <w:tcW w:w="99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1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keepNext/>
              <w:keepLines/>
              <w:spacing w:before="340" w:after="330" w:line="578" w:lineRule="auto"/>
              <w:rPr>
                <w:rFonts w:ascii="Times New Roman" w:hAnsi="Times New Roman" w:eastAsia="仿宋_GB2312" w:cs="Times New Roman"/>
                <w:color w:val="auto"/>
                <w:sz w:val="24"/>
                <w:szCs w:val="24"/>
              </w:rPr>
            </w:pPr>
          </w:p>
        </w:tc>
        <w:tc>
          <w:tcPr>
            <w:tcW w:w="1701"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248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原出口合同</w:t>
            </w:r>
          </w:p>
        </w:tc>
        <w:tc>
          <w:tcPr>
            <w:tcW w:w="99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1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因错误汇入以外的其他原因产生的贸易收汇退汇，提供原出口合同。 </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5</w:t>
            </w:r>
          </w:p>
        </w:tc>
        <w:tc>
          <w:tcPr>
            <w:tcW w:w="248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报关单</w:t>
            </w:r>
          </w:p>
        </w:tc>
        <w:tc>
          <w:tcPr>
            <w:tcW w:w="99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1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发生货物退运时提供进口报关单。</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bl>
    <w:p>
      <w:pPr>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 xml:space="preserve">    （五）新出现的贸易新业态进口付汇登记申请材料清单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778"/>
        <w:gridCol w:w="1417"/>
        <w:gridCol w:w="567"/>
        <w:gridCol w:w="992"/>
        <w:gridCol w:w="1701"/>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77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99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rPr>
                <w:rFonts w:ascii="Times New Roman" w:hAnsi="Times New Roman" w:eastAsia="仿宋_GB2312" w:cs="Times New Roman"/>
                <w:color w:val="auto"/>
                <w:sz w:val="24"/>
                <w:szCs w:val="24"/>
              </w:rPr>
            </w:pPr>
          </w:p>
        </w:tc>
        <w:tc>
          <w:tcPr>
            <w:tcW w:w="1701" w:type="dxa"/>
            <w:vMerge w:val="restart"/>
            <w:vAlign w:val="center"/>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说明登记业务真实性和合理性的材料</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701" w:type="dxa"/>
            <w:vAlign w:val="top"/>
          </w:tcPr>
          <w:p>
            <w:pPr>
              <w:keepNext/>
              <w:keepLines/>
              <w:spacing w:before="340" w:after="330" w:line="578" w:lineRule="auto"/>
              <w:rPr>
                <w:rFonts w:ascii="Times New Roman" w:hAnsi="Times New Roman" w:eastAsia="仿宋_GB2312" w:cs="Times New Roman"/>
                <w:color w:val="auto"/>
                <w:sz w:val="24"/>
                <w:szCs w:val="24"/>
              </w:rPr>
            </w:pPr>
          </w:p>
        </w:tc>
        <w:tc>
          <w:tcPr>
            <w:tcW w:w="1701"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bl>
    <w:p>
      <w:pPr>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（六）跨国公司资金集中运营-经常项目资金集中收付和轧差净额结算业务备案申请材料清单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494"/>
        <w:gridCol w:w="1276"/>
        <w:gridCol w:w="457"/>
        <w:gridCol w:w="960"/>
        <w:gridCol w:w="2268"/>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494"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27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960"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226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49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备案申请书</w:t>
            </w:r>
          </w:p>
        </w:tc>
        <w:tc>
          <w:tcPr>
            <w:tcW w:w="127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60"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包括跨国公司及主办企业基本情况、拟开展的业务种类、成员企业名单、主办企业及成员企业股权结构情况、拟选择的合作银行情况等； </w:t>
            </w:r>
          </w:p>
        </w:tc>
        <w:tc>
          <w:tcPr>
            <w:tcW w:w="1701" w:type="dxa"/>
            <w:vMerge w:val="restart"/>
            <w:vAlign w:val="center"/>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49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跨国公司对主办企业开展跨境资金集中运营业务的授权书</w:t>
            </w:r>
          </w:p>
        </w:tc>
        <w:tc>
          <w:tcPr>
            <w:tcW w:w="127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60"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此项材料应加盖跨国公司公章。</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149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主办企业与合作银行共同签署的《跨国公司跨境资金集中运营业务办理确认书》</w:t>
            </w:r>
          </w:p>
        </w:tc>
        <w:tc>
          <w:tcPr>
            <w:tcW w:w="127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60"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center"/>
          </w:tcPr>
          <w:p>
            <w:pPr>
              <w:keepNext/>
              <w:keepLines/>
              <w:spacing w:before="340" w:after="330" w:line="578" w:lineRule="auto"/>
              <w:rPr>
                <w:rFonts w:ascii="Times New Roman" w:hAnsi="Times New Roman" w:eastAsia="仿宋_GB2312" w:cs="Times New Roman"/>
                <w:color w:val="auto"/>
                <w:sz w:val="24"/>
                <w:szCs w:val="24"/>
              </w:rPr>
            </w:pPr>
          </w:p>
        </w:tc>
        <w:tc>
          <w:tcPr>
            <w:tcW w:w="1701"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149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主办企业及境内成员企业营业执照</w:t>
            </w:r>
          </w:p>
        </w:tc>
        <w:tc>
          <w:tcPr>
            <w:tcW w:w="127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60"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center"/>
          </w:tcPr>
          <w:p>
            <w:pPr>
              <w:keepNext/>
              <w:keepLines/>
              <w:spacing w:before="340" w:after="330" w:line="578" w:lineRule="auto"/>
              <w:rPr>
                <w:rFonts w:ascii="Times New Roman" w:hAnsi="Times New Roman" w:eastAsia="仿宋_GB2312" w:cs="Times New Roman"/>
                <w:color w:val="auto"/>
                <w:sz w:val="24"/>
                <w:szCs w:val="24"/>
              </w:rPr>
            </w:pPr>
          </w:p>
        </w:tc>
        <w:tc>
          <w:tcPr>
            <w:tcW w:w="1701"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5</w:t>
            </w:r>
          </w:p>
        </w:tc>
        <w:tc>
          <w:tcPr>
            <w:tcW w:w="149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境外成员企业注册文件</w:t>
            </w:r>
          </w:p>
        </w:tc>
        <w:tc>
          <w:tcPr>
            <w:tcW w:w="127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60"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非中文的同时提供中文翻译件。</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6</w:t>
            </w:r>
          </w:p>
        </w:tc>
        <w:tc>
          <w:tcPr>
            <w:tcW w:w="149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金融业务许可证及经营范围批准文件</w:t>
            </w:r>
          </w:p>
        </w:tc>
        <w:tc>
          <w:tcPr>
            <w:tcW w:w="127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60"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268"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仅主办企业为财务公司的需提供。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bl>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（七）跨国公司资金集中运营-经常项目资金集中收付和轧差净额结算业务变更申请材料清单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778"/>
        <w:gridCol w:w="1417"/>
        <w:gridCol w:w="567"/>
        <w:gridCol w:w="1134"/>
        <w:gridCol w:w="1559"/>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77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1134"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1559"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申请书</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需列明变更事项和相关内容。</w:t>
            </w:r>
          </w:p>
        </w:tc>
        <w:tc>
          <w:tcPr>
            <w:tcW w:w="1701" w:type="dxa"/>
            <w:vMerge w:val="restart"/>
            <w:vAlign w:val="center"/>
          </w:tcPr>
          <w:p>
            <w:pPr>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加盖银行业务公章的原账户余额对账单</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合作银行变更时提供。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主办企业与变更后合作银行签署的《跨国公司跨境资金集中运营业务办理确认书》</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合作银行变更时提供。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1778" w:type="dxa"/>
            <w:vAlign w:val="center"/>
          </w:tcPr>
          <w:p>
            <w:pPr>
              <w:jc w:val="center"/>
              <w:rPr>
                <w:rFonts w:ascii="Times New Roman" w:hAnsi="Times New Roman" w:eastAsia="仿宋_GB2312" w:cs="Times New Roman"/>
                <w:color w:val="auto"/>
                <w:sz w:val="24"/>
                <w:szCs w:val="24"/>
                <w:highlight w:val="yellow"/>
              </w:rPr>
            </w:pPr>
            <w:r>
              <w:rPr>
                <w:rFonts w:ascii="Times New Roman" w:hAnsi="Times New Roman" w:eastAsia="仿宋_GB2312" w:cs="Times New Roman"/>
                <w:color w:val="auto"/>
                <w:sz w:val="24"/>
                <w:szCs w:val="24"/>
              </w:rPr>
              <w:t>跨国公司对主办企业开展跨境资金集中运营业务的授权书</w:t>
            </w:r>
          </w:p>
        </w:tc>
        <w:tc>
          <w:tcPr>
            <w:tcW w:w="1417" w:type="dxa"/>
            <w:vAlign w:val="center"/>
          </w:tcPr>
          <w:p>
            <w:pPr>
              <w:jc w:val="center"/>
              <w:rPr>
                <w:rFonts w:ascii="Times New Roman" w:hAnsi="Times New Roman" w:eastAsia="仿宋_GB2312" w:cs="Times New Roman"/>
                <w:color w:val="auto"/>
                <w:sz w:val="24"/>
                <w:szCs w:val="24"/>
                <w:highlight w:val="yellow"/>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highlight w:val="yellow"/>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highlight w:val="yellow"/>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highlight w:val="yellow"/>
              </w:rPr>
            </w:pPr>
            <w:r>
              <w:rPr>
                <w:rFonts w:ascii="Times New Roman" w:hAnsi="Times New Roman" w:eastAsia="仿宋_GB2312" w:cs="Times New Roman"/>
                <w:color w:val="auto"/>
                <w:sz w:val="24"/>
                <w:szCs w:val="24"/>
              </w:rPr>
              <w:t>主办企业变更、成员企业新增或退出、外债和境外放款额度变更、业务种类变更时提供。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5</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主办企业与合作银行共同签署的《跨国公司跨境资金集中运营业务办理确认书》</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主办企业变更、成员企业新增或退出、业务种类变更时提供。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6</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主办企业及境内成员企业营业执照</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主办企业变更、成员企业新增或退出、业务种类变更时提供。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7</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境外成员企业注册文件</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主办企业变更、成员企业新增或退出、业务种类变更时提供；非中文的同时提供中文翻译件。</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8</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金融业务许可证及经营范围批准文件</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34"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1559"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主办企业变更、成员企业新增或退出、业务种类变更时提供；仅主办企业为财务公司的需提供。</w:t>
            </w: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p>
        </w:tc>
        <w:tc>
          <w:tcPr>
            <w:tcW w:w="1778" w:type="dxa"/>
            <w:vAlign w:val="center"/>
          </w:tcPr>
          <w:p>
            <w:pPr>
              <w:jc w:val="center"/>
              <w:rPr>
                <w:rFonts w:ascii="Times New Roman" w:hAnsi="Times New Roman" w:eastAsia="仿宋_GB2312" w:cs="Times New Roman"/>
                <w:color w:val="auto"/>
                <w:sz w:val="24"/>
                <w:szCs w:val="24"/>
              </w:rPr>
            </w:pPr>
          </w:p>
        </w:tc>
        <w:tc>
          <w:tcPr>
            <w:tcW w:w="1417" w:type="dxa"/>
            <w:vAlign w:val="center"/>
          </w:tcPr>
          <w:p>
            <w:pPr>
              <w:jc w:val="center"/>
              <w:rPr>
                <w:rFonts w:ascii="Times New Roman" w:hAnsi="Times New Roman" w:eastAsia="仿宋_GB2312" w:cs="Times New Roman"/>
                <w:color w:val="auto"/>
                <w:sz w:val="24"/>
                <w:szCs w:val="24"/>
              </w:rPr>
            </w:pPr>
          </w:p>
        </w:tc>
        <w:tc>
          <w:tcPr>
            <w:tcW w:w="567" w:type="dxa"/>
            <w:vAlign w:val="center"/>
          </w:tcPr>
          <w:p>
            <w:pPr>
              <w:jc w:val="center"/>
              <w:rPr>
                <w:rFonts w:ascii="Times New Roman" w:hAnsi="Times New Roman" w:eastAsia="仿宋_GB2312" w:cs="Times New Roman"/>
                <w:color w:val="auto"/>
                <w:sz w:val="24"/>
                <w:szCs w:val="24"/>
              </w:rPr>
            </w:pPr>
          </w:p>
        </w:tc>
        <w:tc>
          <w:tcPr>
            <w:tcW w:w="1134" w:type="dxa"/>
            <w:vAlign w:val="center"/>
          </w:tcPr>
          <w:p>
            <w:pPr>
              <w:jc w:val="center"/>
              <w:rPr>
                <w:rFonts w:ascii="Times New Roman" w:hAnsi="Times New Roman" w:eastAsia="仿宋_GB2312" w:cs="Times New Roman"/>
                <w:color w:val="auto"/>
                <w:sz w:val="24"/>
                <w:szCs w:val="24"/>
              </w:rPr>
            </w:pPr>
          </w:p>
        </w:tc>
        <w:tc>
          <w:tcPr>
            <w:tcW w:w="1559" w:type="dxa"/>
            <w:vAlign w:val="center"/>
          </w:tcPr>
          <w:p>
            <w:pPr>
              <w:rPr>
                <w:rFonts w:ascii="Times New Roman" w:hAnsi="Times New Roman" w:eastAsia="仿宋_GB2312" w:cs="Times New Roman"/>
                <w:color w:val="auto"/>
                <w:sz w:val="24"/>
                <w:szCs w:val="24"/>
              </w:rPr>
            </w:pPr>
          </w:p>
        </w:tc>
        <w:tc>
          <w:tcPr>
            <w:tcW w:w="1701"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bl>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（八）跨国公司资金集中运营-经常项目资金集中收付和轧差净额结算业务注销申请材料清单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778"/>
        <w:gridCol w:w="1417"/>
        <w:gridCol w:w="567"/>
        <w:gridCol w:w="992"/>
        <w:gridCol w:w="1701"/>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77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99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备案申请</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992"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1701"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包括跨国公司跨境资金集中运营的跨境收支及结售汇、国内资金主账户的关闭等相关情况。</w:t>
            </w:r>
          </w:p>
        </w:tc>
        <w:tc>
          <w:tcPr>
            <w:tcW w:w="1701" w:type="dxa"/>
            <w:vAlign w:val="center"/>
          </w:tcPr>
          <w:p>
            <w:pPr>
              <w:rPr>
                <w:rFonts w:ascii="Times New Roman" w:hAnsi="Times New Roman" w:eastAsia="仿宋_GB2312" w:cs="Times New Roman"/>
                <w:color w:val="auto"/>
                <w:sz w:val="24"/>
                <w:szCs w:val="24"/>
              </w:rPr>
            </w:pPr>
          </w:p>
        </w:tc>
      </w:tr>
    </w:tbl>
    <w:p>
      <w:pPr>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 xml:space="preserve">    十、申请接受</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申请人可通过国家外汇管理局分支局提交材料。</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十一、基本办理流程</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（一）申请人提交申请；</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（二）决定是否予以受理；</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 xml:space="preserve">（三）不属于本机构受理范围的，出具不予受理行政许可通知书； </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（四）属于本机构受理范围的，审核申请材料是否齐全或符合法定形式；材料不全或不符合法定形式的，一次性告知补正材料，并出具行政许可补正通知书；</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（五）材料齐全的，依法予以受理，并出具行政许可受理通知书；</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（六）不予许可的，做出不予许可的行政许可书面决定并说明理由；予以许可的，出具贸易外汇业务登记表或备案通知书。</w:t>
      </w:r>
    </w:p>
    <w:p>
      <w:pPr>
        <w:tabs>
          <w:tab w:val="left" w:pos="615"/>
        </w:tabs>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十二、办理方式</w:t>
      </w:r>
    </w:p>
    <w:p>
      <w:pPr>
        <w:tabs>
          <w:tab w:val="left" w:pos="615"/>
        </w:tabs>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一般程序：申请、受理、审查、决定。</w:t>
      </w:r>
    </w:p>
    <w:p>
      <w:pPr>
        <w:tabs>
          <w:tab w:val="left" w:pos="615"/>
        </w:tabs>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 xml:space="preserve">    十三、审批时限</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20个工作日。</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十四、审批收费依据及标准</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不收费。</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十五、审批结果</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外汇局向申请企业出具贸易外汇业务登记表或备案通知书。</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十六、结果送达</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通过电话等方式通知申请企业，并通过现场领取或邮寄等方式将结果送达。</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十七、申请人权利和义务</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申请人有权依法提出行政审批申请，依法进行投诉、举报、复议、诉讼等。申请人有义务保证申请材料完整、真实、准确，获批后合法合规办理相关业务。</w:t>
      </w:r>
    </w:p>
    <w:p>
      <w:pPr>
        <w:ind w:firstLine="600"/>
        <w:rPr>
          <w:rFonts w:ascii="Times New Roman" w:hAnsi="Times New Roman" w:eastAsia="仿宋_GB2312" w:cs="Times New Roman"/>
          <w:color w:val="auto"/>
          <w:sz w:val="30"/>
          <w:szCs w:val="30"/>
        </w:rPr>
      </w:pPr>
      <w:r>
        <w:rPr>
          <w:rFonts w:ascii="Times New Roman" w:hAnsi="Times New Roman" w:eastAsia="黑体" w:cs="Times New Roman"/>
          <w:color w:val="auto"/>
          <w:sz w:val="30"/>
          <w:szCs w:val="30"/>
        </w:rPr>
        <w:t>十八、咨询途径、监督和投诉、公开查询等由所在地分支局办理</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电话咨询：0771-6111201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网站投诉：</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电话查询：0771-6111201</w:t>
      </w:r>
    </w:p>
    <w:p>
      <w:pPr>
        <w:numPr>
          <w:ilvl w:val="0"/>
          <w:numId w:val="1"/>
        </w:numPr>
        <w:adjustRightInd w:val="0"/>
        <w:snapToGrid w:val="0"/>
        <w:spacing w:line="360" w:lineRule="auto"/>
        <w:ind w:firstLine="6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国家外汇管理局广西区各市中心支局</w:t>
      </w:r>
    </w:p>
    <w:p>
      <w:pPr>
        <w:ind w:firstLine="600"/>
        <w:rPr>
          <w:rFonts w:ascii="Times New Roman" w:hAnsi="Times New Roman" w:eastAsia="仿宋_GB2312" w:cs="Times New Roman"/>
          <w:color w:val="auto"/>
          <w:sz w:val="30"/>
          <w:szCs w:val="30"/>
        </w:rPr>
      </w:pPr>
      <w:r>
        <w:rPr>
          <w:rFonts w:hint="eastAsia" w:ascii="Times New Roman" w:hAnsi="Times New Roman" w:eastAsia="仿宋_GB2312" w:cs="Times New Roman"/>
          <w:color w:val="auto"/>
          <w:sz w:val="30"/>
          <w:szCs w:val="30"/>
          <w:lang w:val="en-US" w:eastAsia="zh-CN"/>
        </w:rPr>
        <w:t>咨询途径、监督和投诉途径、公开查询途径可通过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/guangxi/）机构设置栏目所示地址和电话进行相应查询。</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十九、事项审查类型</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前审后批。</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二十、办公地址和时间</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除跨国公司资金集中运营-经常项目资金集中收付和轧差净额结算业务相关行政许可由国家外汇管理局分局办理外，其他行政许可具体由国家外汇管理局分支局办理。</w:t>
      </w:r>
    </w:p>
    <w:p>
      <w:pPr>
        <w:adjustRightInd w:val="0"/>
        <w:snapToGrid w:val="0"/>
        <w:spacing w:line="360" w:lineRule="auto"/>
        <w:ind w:firstLine="600" w:firstLineChars="200"/>
        <w:rPr>
          <w:rFonts w:hint="eastAsia" w:ascii="仿宋_GB2312" w:hAnsi="Times New Roman" w:eastAsia="仿宋_GB2312"/>
          <w:b/>
          <w:bCs/>
          <w:color w:val="auto"/>
          <w:sz w:val="30"/>
          <w:szCs w:val="30"/>
        </w:rPr>
      </w:pPr>
      <w:r>
        <w:rPr>
          <w:rFonts w:hint="eastAsia" w:ascii="仿宋_GB2312" w:hAnsi="Times New Roman" w:eastAsia="仿宋_GB2312"/>
          <w:b/>
          <w:bCs/>
          <w:color w:val="auto"/>
          <w:sz w:val="30"/>
          <w:szCs w:val="30"/>
          <w:lang w:val="en-US" w:eastAsia="zh-CN"/>
        </w:rPr>
        <w:t>1.</w:t>
      </w:r>
      <w:r>
        <w:rPr>
          <w:rFonts w:hint="eastAsia" w:ascii="仿宋_GB2312" w:hAnsi="Times New Roman" w:eastAsia="仿宋_GB2312"/>
          <w:b/>
          <w:bCs/>
          <w:color w:val="auto"/>
          <w:sz w:val="30"/>
          <w:szCs w:val="30"/>
        </w:rPr>
        <w:t>国家外汇管理局广西壮族自治区分局</w:t>
      </w:r>
    </w:p>
    <w:p>
      <w:pPr>
        <w:adjustRightInd w:val="0"/>
        <w:snapToGrid w:val="0"/>
        <w:spacing w:line="360" w:lineRule="auto"/>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 xml:space="preserve">    办公</w:t>
      </w:r>
      <w:r>
        <w:rPr>
          <w:rFonts w:hint="eastAsia" w:ascii="仿宋_GB2312" w:hAnsi="Times New Roman" w:eastAsia="仿宋_GB2312"/>
          <w:color w:val="auto"/>
          <w:sz w:val="30"/>
          <w:szCs w:val="30"/>
        </w:rPr>
        <w:t>地址：广西南宁市青秀区滨湖路58号中国人民银行南宁中心支行</w:t>
      </w:r>
      <w:r>
        <w:rPr>
          <w:rFonts w:hint="eastAsia" w:ascii="Times New Roman" w:hAnsi="Times New Roman" w:eastAsia="仿宋_GB2312" w:cs="Times New Roman"/>
          <w:color w:val="auto"/>
          <w:sz w:val="30"/>
          <w:szCs w:val="30"/>
          <w:lang w:val="en-US" w:eastAsia="zh-CN"/>
        </w:rPr>
        <w:t>一楼8号柜台。</w:t>
      </w:r>
    </w:p>
    <w:p>
      <w:pPr>
        <w:adjustRightInd w:val="0"/>
        <w:snapToGrid w:val="0"/>
        <w:spacing w:line="360" w:lineRule="auto"/>
        <w:ind w:firstLine="600" w:firstLineChars="200"/>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w:t>
      </w:r>
      <w:r>
        <w:rPr>
          <w:rFonts w:hint="eastAsia" w:ascii="仿宋_GB2312" w:hAnsi="Times New Roman" w:eastAsia="仿宋_GB2312"/>
          <w:color w:val="auto"/>
          <w:sz w:val="30"/>
          <w:szCs w:val="30"/>
          <w:lang w:val="en-US" w:eastAsia="zh-CN"/>
        </w:rPr>
        <w:t>14</w:t>
      </w:r>
      <w:r>
        <w:rPr>
          <w:rFonts w:hint="eastAsia" w:ascii="仿宋_GB2312" w:hAnsi="Times New Roman" w:eastAsia="仿宋_GB2312"/>
          <w:color w:val="auto"/>
          <w:sz w:val="30"/>
          <w:szCs w:val="30"/>
        </w:rPr>
        <w:t>:30-</w:t>
      </w:r>
      <w:r>
        <w:rPr>
          <w:rFonts w:hint="eastAsia" w:ascii="仿宋_GB2312" w:hAnsi="Times New Roman" w:eastAsia="仿宋_GB2312"/>
          <w:color w:val="auto"/>
          <w:sz w:val="30"/>
          <w:szCs w:val="30"/>
          <w:lang w:val="en-US" w:eastAsia="zh-CN"/>
        </w:rPr>
        <w:t>17</w:t>
      </w:r>
      <w:r>
        <w:rPr>
          <w:rFonts w:hint="eastAsia" w:ascii="仿宋_GB2312" w:hAnsi="Times New Roman" w:eastAsia="仿宋_GB2312"/>
          <w:color w:val="auto"/>
          <w:sz w:val="30"/>
          <w:szCs w:val="30"/>
        </w:rPr>
        <w:t xml:space="preserve">:30。 </w:t>
      </w:r>
    </w:p>
    <w:p>
      <w:pPr>
        <w:numPr>
          <w:numId w:val="0"/>
        </w:numPr>
        <w:adjustRightInd w:val="0"/>
        <w:snapToGrid w:val="0"/>
        <w:spacing w:line="360" w:lineRule="auto"/>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val="en-US" w:eastAsia="zh-CN"/>
        </w:rPr>
        <w:t xml:space="preserve">    </w:t>
      </w:r>
      <w:r>
        <w:rPr>
          <w:rFonts w:hint="eastAsia" w:ascii="仿宋_GB2312" w:hAnsi="Times New Roman" w:eastAsia="仿宋_GB2312"/>
          <w:b/>
          <w:bCs/>
          <w:color w:val="auto"/>
          <w:sz w:val="30"/>
          <w:szCs w:val="30"/>
          <w:lang w:val="en-US" w:eastAsia="zh-CN"/>
        </w:rPr>
        <w:t>2.</w:t>
      </w:r>
      <w:r>
        <w:rPr>
          <w:rFonts w:hint="eastAsia" w:ascii="Times New Roman" w:hAnsi="Times New Roman" w:eastAsia="仿宋_GB2312" w:cs="Times New Roman"/>
          <w:b/>
          <w:bCs/>
          <w:color w:val="auto"/>
          <w:sz w:val="30"/>
          <w:szCs w:val="30"/>
          <w:lang w:val="en-US" w:eastAsia="zh-CN"/>
        </w:rPr>
        <w:t>国家外汇管理局广西区各市中心支局</w:t>
      </w:r>
    </w:p>
    <w:p>
      <w:p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办公地址：通过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/guangxi/）机构设置栏目进行查询。</w:t>
      </w:r>
    </w:p>
    <w:p>
      <w:pPr>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办公时间：可通过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/guangxi/）机构设置栏目所示电话进行咨询。</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二十一、常见问题解答和错误示例。</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1.《贸易外汇业务登记表》的有效期是多久？</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《贸易外汇业务登记表》有效期原则上不超过1个月。</w:t>
      </w:r>
    </w:p>
    <w:p>
      <w:pPr>
        <w:widowControl/>
        <w:spacing w:line="384" w:lineRule="auto"/>
        <w:ind w:firstLine="600" w:firstLineChars="2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2.错误示例</w:t>
      </w:r>
    </w:p>
    <w:p>
      <w:pPr>
        <w:widowControl/>
        <w:spacing w:line="384" w:lineRule="auto"/>
        <w:ind w:firstLine="600" w:firstLineChars="200"/>
        <w:rPr>
          <w:rFonts w:ascii="Times New Roman" w:hAnsi="Times New Roman" w:eastAsia="仿宋_GB2312" w:cs="Times New Roman"/>
          <w:color w:val="auto"/>
          <w:sz w:val="30"/>
          <w:szCs w:val="30"/>
        </w:rPr>
        <w:sectPr>
          <w:footerReference r:id="rId5" w:type="default"/>
          <w:pgSz w:w="11906" w:h="16838"/>
          <w:pgMar w:top="1440" w:right="1800" w:bottom="1440" w:left="1800" w:header="851" w:footer="992" w:gutter="0"/>
          <w:cols w:space="720" w:num="1"/>
          <w:docGrid w:type="lines" w:linePitch="312" w:charSpace="0"/>
        </w:sectPr>
      </w:pPr>
      <w:r>
        <w:rPr>
          <w:rFonts w:ascii="Times New Roman" w:hAnsi="Times New Roman" w:eastAsia="仿宋_GB2312" w:cs="Times New Roman"/>
          <w:color w:val="auto"/>
          <w:kern w:val="0"/>
          <w:sz w:val="30"/>
          <w:szCs w:val="30"/>
        </w:rPr>
        <w:t>企业在填写申请书时，要写明具体的登记业务类型，如B类企业办理90天以上延期付款登记，注意不要只填写B类企业登记业务</w:t>
      </w:r>
      <w:r>
        <w:rPr>
          <w:rFonts w:ascii="Times New Roman" w:hAnsi="Times New Roman" w:eastAsia="仿宋_GB2312" w:cs="Times New Roman"/>
          <w:color w:val="auto"/>
          <w:sz w:val="30"/>
          <w:szCs w:val="30"/>
        </w:rPr>
        <w:t>。</w:t>
      </w:r>
    </w:p>
    <w:p>
      <w:pPr>
        <w:ind w:right="3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附录一</w:t>
      </w:r>
    </w:p>
    <w:p>
      <w:pPr>
        <w:ind w:right="300"/>
        <w:jc w:val="center"/>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基本流程图</w:t>
      </w: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仿宋_GB2312" w:cs="Times New Roman"/>
          <w:color w:val="auto"/>
          <w:sz w:val="30"/>
          <w:szCs w:val="30"/>
        </w:rPr>
      </w:pPr>
      <w:r>
        <w:rPr>
          <w:rFonts w:ascii="Times New Roman" w:hAnsi="Times New Roman" w:eastAsia="仿宋_GB2312" w:cs="Times New Roman"/>
          <w:color w:val="auto"/>
          <w:kern w:val="2"/>
          <w:sz w:val="30"/>
          <w:szCs w:val="30"/>
          <w:lang w:val="en-US" w:eastAsia="zh-CN" w:bidi="ar-SA"/>
        </w:rPr>
        <w:pict>
          <v:shape id="Flowchart: Terminator 78" o:spid="_x0000_s1026" type="#_x0000_t116" style="position:absolute;left:0;margin-left:-5.25pt;margin-top:4.45pt;height:70.75pt;width:99.8pt;rotation:0f;z-index:251658240;"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申请人提出申请，并提交材料</w:t>
                  </w:r>
                </w:p>
              </w:txbxContent>
            </v:textbox>
          </v:shape>
        </w:pict>
      </w: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r>
        <w:rPr>
          <w:rFonts w:ascii="Times New Roman" w:hAnsi="Times New Roman" w:eastAsia="仿宋_GB2312" w:cs="Times New Roman"/>
          <w:color w:val="auto"/>
          <w:kern w:val="2"/>
          <w:sz w:val="30"/>
          <w:szCs w:val="30"/>
          <w:lang w:val="en-US" w:eastAsia="zh-CN" w:bidi="ar-SA"/>
        </w:rPr>
        <w:pict>
          <v:shape id="Straight Connector 86" o:spid="_x0000_s1027" type="#_x0000_t32" style="position:absolute;left:0;margin-left:39.8pt;margin-top:12.8pt;height:43.4pt;width:0.8pt;rotation:0f;z-index:251659264;"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90" o:spid="_x0000_s1028" type="#_x0000_t32" style="position:absolute;left:0;flip:x;margin-left:41.45pt;margin-top:21.05pt;height:0.05pt;width:232.15pt;rotation:0f;z-index:251660288;"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0" o:spid="_x0000_s1029" style="position:absolute;left:0;margin-left:273.6pt;margin-top:1.6pt;height:33.7pt;width:146.45pt;rotation:0f;z-index:251661312;"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申请人补全材料</w:t>
                  </w:r>
                </w:p>
              </w:txbxContent>
            </v:textbox>
          </v:rect>
        </w:pict>
      </w:r>
    </w:p>
    <w:p>
      <w:pPr>
        <w:ind w:right="300"/>
        <w:jc w:val="left"/>
        <w:rPr>
          <w:rFonts w:ascii="Times New Roman" w:hAnsi="Times New Roman" w:eastAsia="仿宋_GB2312" w:cs="Times New Roman"/>
          <w:color w:val="auto"/>
          <w:sz w:val="30"/>
          <w:szCs w:val="30"/>
        </w:rPr>
        <w:sectPr>
          <w:pgSz w:w="11906" w:h="16838"/>
          <w:pgMar w:top="1440" w:right="1800" w:bottom="1440" w:left="1800" w:header="851" w:footer="992" w:gutter="0"/>
          <w:cols w:space="720" w:num="1"/>
          <w:docGrid w:type="lines" w:linePitch="312" w:charSpace="0"/>
        </w:sectPr>
      </w:pPr>
      <w:r>
        <w:rPr>
          <w:rFonts w:ascii="Times New Roman" w:hAnsi="Times New Roman" w:eastAsia="仿宋_GB2312" w:cs="Times New Roman"/>
          <w:color w:val="auto"/>
          <w:kern w:val="2"/>
          <w:sz w:val="30"/>
          <w:szCs w:val="30"/>
          <w:lang w:val="en-US" w:eastAsia="zh-CN" w:bidi="ar-SA"/>
        </w:rPr>
        <w:pict>
          <v:shape id="Straight Connector 94" o:spid="_x0000_s1030" type="#_x0000_t32" style="position:absolute;left:0;margin-left:41.45pt;margin-top:125.3pt;height:57.55pt;width:0.05pt;rotation:0f;z-index:25166233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88" o:spid="_x0000_s1031" type="#_x0000_t32" style="position:absolute;left:0;margin-left:99.95pt;margin-top:92.5pt;height:0.05pt;width:52pt;rotation:0f;z-index:251663360;"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2" o:spid="_x0000_s1032" style="position:absolute;left:0;margin-left:151.95pt;margin-top:80pt;height:45.3pt;width:268.1pt;rotation:0f;z-index:251664384;"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依法不予受理的，作出不予受理决定，出具不予受理通知书</w:t>
                  </w:r>
                </w:p>
              </w:txbxContent>
            </v:textbox>
          </v:rect>
        </w:pict>
      </w:r>
      <w:r>
        <w:rPr>
          <w:rFonts w:ascii="Times New Roman" w:hAnsi="Times New Roman" w:eastAsia="仿宋_GB2312" w:cs="Times New Roman"/>
          <w:color w:val="auto"/>
          <w:kern w:val="2"/>
          <w:sz w:val="30"/>
          <w:szCs w:val="30"/>
          <w:lang w:val="en-US" w:eastAsia="zh-CN" w:bidi="ar-SA"/>
        </w:rPr>
        <w:pict>
          <v:shape id="Flowchart: Terminator 85" o:spid="_x0000_s1033" type="#_x0000_t116" style="position:absolute;left:0;margin-left:-5.25pt;margin-top:375.2pt;height:63.55pt;width:197.6pt;rotation:0f;z-index:251665408;"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予以许可</w:t>
                  </w:r>
                </w:p>
              </w:txbxContent>
            </v:textbox>
          </v:shape>
        </w:pict>
      </w:r>
      <w:r>
        <w:rPr>
          <w:rFonts w:ascii="Times New Roman" w:hAnsi="Times New Roman" w:eastAsia="仿宋_GB2312" w:cs="Times New Roman"/>
          <w:color w:val="auto"/>
          <w:kern w:val="2"/>
          <w:sz w:val="30"/>
          <w:szCs w:val="30"/>
          <w:lang w:val="en-US" w:eastAsia="zh-CN" w:bidi="ar-SA"/>
        </w:rPr>
        <w:pict>
          <v:shape id="Flowchart: Terminator 84" o:spid="_x0000_s1034" type="#_x0000_t116" style="position:absolute;left:0;margin-left:198.8pt;margin-top:375.2pt;height:63.55pt;width:180.85pt;rotation:0f;z-index:251666432;"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依法作出不予许可决定</w:t>
                  </w:r>
                </w:p>
              </w:txbxContent>
            </v:textbox>
          </v:shape>
        </w:pict>
      </w:r>
      <w:r>
        <w:rPr>
          <w:rFonts w:ascii="Times New Roman" w:hAnsi="Times New Roman" w:eastAsia="仿宋_GB2312" w:cs="Times New Roman"/>
          <w:color w:val="auto"/>
          <w:kern w:val="2"/>
          <w:sz w:val="30"/>
          <w:szCs w:val="30"/>
          <w:lang w:val="en-US" w:eastAsia="zh-CN" w:bidi="ar-SA"/>
        </w:rPr>
        <w:pict>
          <v:shape id="Straight Connector 92" o:spid="_x0000_s1035" type="#_x0000_t32" style="position:absolute;left:0;margin-left:237.25pt;margin-top:323.1pt;height:52.1pt;width:0.05pt;rotation:0f;z-index:251667456;"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93" o:spid="_x0000_s1036" type="#_x0000_t32" style="position:absolute;left:0;margin-left:117.65pt;margin-top:323.1pt;height:52.1pt;width:0.05pt;rotation:0f;z-index:251668480;"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Flowchart: Decision 96" o:spid="_x0000_s1037" type="#_x0000_t110" style="position:absolute;left:0;margin-left:94.55pt;margin-top:265.4pt;height:86.2pt;width:166.25pt;rotation:0f;z-index:25166950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
                  <w:pPr>
                    <w:ind w:firstLine="315" w:firstLineChars="150"/>
                  </w:pPr>
                  <w:r>
                    <w:rPr>
                      <w:rFonts w:hint="eastAsia"/>
                    </w:rPr>
                    <w:t>审查报批</w:t>
                  </w:r>
                </w:p>
              </w:txbxContent>
            </v:textbox>
          </v:shape>
        </w:pict>
      </w:r>
      <w:r>
        <w:rPr>
          <w:rFonts w:ascii="Times New Roman" w:hAnsi="Times New Roman" w:eastAsia="仿宋_GB2312" w:cs="Times New Roman"/>
          <w:color w:val="auto"/>
          <w:kern w:val="2"/>
          <w:sz w:val="30"/>
          <w:szCs w:val="30"/>
          <w:lang w:val="en-US" w:eastAsia="zh-CN" w:bidi="ar-SA"/>
        </w:rPr>
        <w:pict>
          <v:shape id="Straight Connector 91" o:spid="_x0000_s1038" type="#_x0000_t32" style="position:absolute;left:0;margin-left:179.6pt;margin-top:231.45pt;height:33.95pt;width:0.05pt;rotation:0f;z-index:251670528;"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87" o:spid="_x0000_s1039" type="#_x0000_t32" style="position:absolute;left:0;margin-left:103.8pt;margin-top:61.4pt;height:0.05pt;width:48.15pt;rotation:0f;z-index:251671552;"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Flowchart: Decision 79" o:spid="_x0000_s1040" type="#_x0000_t110" style="position:absolute;left:0;margin-left:-42.55pt;margin-top:25pt;height:100.3pt;width:166.25pt;rotation:0f;z-index:251672576;"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接件并于5个工作日内作出是否受理决定</w:t>
                  </w:r>
                </w:p>
              </w:txbxContent>
            </v:textbox>
          </v:shape>
        </w:pict>
      </w:r>
      <w:r>
        <w:rPr>
          <w:rFonts w:ascii="Times New Roman" w:hAnsi="Times New Roman" w:eastAsia="仿宋_GB2312" w:cs="Times New Roman"/>
          <w:color w:val="auto"/>
          <w:kern w:val="2"/>
          <w:sz w:val="30"/>
          <w:szCs w:val="30"/>
          <w:lang w:val="en-US" w:eastAsia="zh-CN" w:bidi="ar-SA"/>
        </w:rPr>
        <w:pict>
          <v:rect id="Rectangle 83" o:spid="_x0000_s1041" style="position:absolute;left:0;margin-left:81.7pt;margin-top:162.05pt;height:69.4pt;width:210.9pt;rotation:0f;z-index:251673600;"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材料齐全的，依法予以受理</w:t>
                  </w:r>
                </w:p>
                <w:p/>
              </w:txbxContent>
            </v:textbox>
          </v:rect>
        </w:pict>
      </w:r>
      <w:r>
        <w:rPr>
          <w:rFonts w:ascii="Times New Roman" w:hAnsi="Times New Roman" w:eastAsia="仿宋_GB2312" w:cs="Times New Roman"/>
          <w:color w:val="auto"/>
          <w:kern w:val="2"/>
          <w:sz w:val="30"/>
          <w:szCs w:val="30"/>
          <w:lang w:val="en-US" w:eastAsia="zh-CN" w:bidi="ar-SA"/>
        </w:rPr>
        <w:pict>
          <v:shape id="Straight Connector 95" o:spid="_x0000_s1042" type="#_x0000_t32" style="position:absolute;left:0;margin-left:40.6pt;margin-top:182.85pt;height:0.05pt;width:41.1pt;rotation:0f;z-index:251674624;"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89" o:spid="_x0000_s1043" type="#_x0000_t32" style="position:absolute;left:0;flip:y;margin-left:345.35pt;margin-top:4.1pt;height:44.75pt;width:0.05pt;rotation:0f;z-index:251675648;"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1" o:spid="_x0000_s1044" style="position:absolute;left:0;margin-left:151.95pt;margin-top:48.85pt;height:25pt;width:268.1pt;rotation:0f;z-index:251676672;"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材料不全或不符合法定形式的，一次性告知补正材料</w:t>
                  </w:r>
                </w:p>
              </w:txbxContent>
            </v:textbox>
          </v:rect>
        </w:pict>
      </w:r>
    </w:p>
    <w:p>
      <w:pPr>
        <w:widowControl/>
        <w:spacing w:line="384" w:lineRule="auto"/>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附录二（</w:t>
      </w:r>
      <w:r>
        <w:rPr>
          <w:rFonts w:ascii="Times New Roman" w:hAnsi="Times New Roman" w:eastAsia="仿宋_GB2312" w:cs="Times New Roman"/>
          <w:color w:val="auto"/>
          <w:kern w:val="0"/>
          <w:sz w:val="30"/>
          <w:szCs w:val="30"/>
        </w:rPr>
        <w:t>材料示范文本</w:t>
      </w:r>
      <w:r>
        <w:rPr>
          <w:rFonts w:ascii="Times New Roman" w:hAnsi="Times New Roman" w:eastAsia="仿宋_GB2312" w:cs="Times New Roman"/>
          <w:color w:val="auto"/>
          <w:sz w:val="30"/>
          <w:szCs w:val="30"/>
        </w:rPr>
        <w:t>）</w:t>
      </w:r>
    </w:p>
    <w:p>
      <w:pPr>
        <w:widowControl/>
        <w:spacing w:line="384" w:lineRule="auto"/>
        <w:jc w:val="center"/>
        <w:rPr>
          <w:rFonts w:ascii="Times New Roman" w:hAnsi="Times New Roman" w:eastAsia="黑体" w:cs="Times New Roman"/>
          <w:color w:val="auto"/>
          <w:kern w:val="0"/>
          <w:sz w:val="30"/>
          <w:szCs w:val="30"/>
        </w:rPr>
      </w:pPr>
    </w:p>
    <w:p>
      <w:pPr>
        <w:widowControl/>
        <w:spacing w:line="384" w:lineRule="auto"/>
        <w:jc w:val="center"/>
        <w:rPr>
          <w:rFonts w:ascii="Times New Roman" w:hAnsi="Times New Roman" w:eastAsia="黑体" w:cs="Times New Roman"/>
          <w:color w:val="auto"/>
          <w:kern w:val="0"/>
          <w:sz w:val="30"/>
          <w:szCs w:val="30"/>
        </w:rPr>
      </w:pPr>
      <w:r>
        <w:rPr>
          <w:rFonts w:ascii="Times New Roman" w:hAnsi="Times New Roman" w:eastAsia="黑体" w:cs="Times New Roman"/>
          <w:color w:val="auto"/>
          <w:kern w:val="0"/>
          <w:sz w:val="30"/>
          <w:szCs w:val="30"/>
        </w:rPr>
        <w:t>申请书</w:t>
      </w:r>
    </w:p>
    <w:p>
      <w:pPr>
        <w:widowControl/>
        <w:spacing w:line="384" w:lineRule="auto"/>
        <w:jc w:val="center"/>
        <w:rPr>
          <w:rFonts w:ascii="Times New Roman" w:hAnsi="Times New Roman" w:eastAsia="黑体" w:cs="Times New Roman"/>
          <w:color w:val="auto"/>
          <w:kern w:val="0"/>
          <w:sz w:val="30"/>
          <w:szCs w:val="30"/>
        </w:rPr>
      </w:pPr>
    </w:p>
    <w:p>
      <w:pPr>
        <w:widowControl/>
        <w:spacing w:line="384" w:lineRule="auto"/>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国家外汇管理局XX分（支）局：</w:t>
      </w:r>
      <w:r>
        <w:rPr>
          <w:rFonts w:ascii="Times New Roman" w:hAnsi="Times New Roman" w:eastAsia="仿宋_GB2312" w:cs="Times New Roman"/>
          <w:color w:val="auto"/>
          <w:kern w:val="0"/>
          <w:sz w:val="30"/>
          <w:szCs w:val="30"/>
        </w:rPr>
        <w:br/>
      </w:r>
      <w:r>
        <w:rPr>
          <w:rFonts w:ascii="Times New Roman" w:hAnsi="Times New Roman" w:eastAsia="仿宋_GB2312" w:cs="Times New Roman"/>
          <w:color w:val="auto"/>
          <w:kern w:val="0"/>
          <w:sz w:val="30"/>
          <w:szCs w:val="30"/>
        </w:rPr>
        <w:t>　　一、申请业务的基本情况</w:t>
      </w:r>
    </w:p>
    <w:p>
      <w:pPr>
        <w:widowControl/>
        <w:spacing w:line="384" w:lineRule="auto"/>
        <w:ind w:firstLine="6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包括但不限于：业务基本情况介绍、业务类别、结算方式、经办金融机构名称、币种和金额等。</w:t>
      </w:r>
    </w:p>
    <w:p>
      <w:pPr>
        <w:widowControl/>
        <w:spacing w:line="384" w:lineRule="auto"/>
        <w:ind w:firstLine="6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二、申请事项</w:t>
      </w:r>
    </w:p>
    <w:p>
      <w:pPr>
        <w:widowControl/>
        <w:spacing w:line="384" w:lineRule="auto"/>
        <w:ind w:firstLine="6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包括但不限于：需登记的事项，原因（如按法规规定需说明原因的）等其他内容。</w:t>
      </w:r>
    </w:p>
    <w:p>
      <w:pPr>
        <w:widowControl/>
        <w:spacing w:line="384" w:lineRule="auto"/>
        <w:ind w:firstLine="6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三、其他需说明的情况（如无，可不填写）</w:t>
      </w:r>
    </w:p>
    <w:p>
      <w:pPr>
        <w:widowControl/>
        <w:spacing w:line="384" w:lineRule="auto"/>
        <w:ind w:firstLine="600"/>
        <w:jc w:val="left"/>
        <w:rPr>
          <w:rFonts w:ascii="Times New Roman" w:hAnsi="Times New Roman" w:eastAsia="仿宋_GB2312" w:cs="Times New Roman"/>
          <w:color w:val="auto"/>
          <w:kern w:val="0"/>
          <w:sz w:val="30"/>
          <w:szCs w:val="30"/>
        </w:rPr>
      </w:pPr>
    </w:p>
    <w:p>
      <w:pPr>
        <w:widowControl/>
        <w:spacing w:line="384" w:lineRule="auto"/>
        <w:jc w:val="left"/>
        <w:rPr>
          <w:rFonts w:ascii="Times New Roman" w:hAnsi="Times New Roman" w:eastAsia="仿宋_GB2312" w:cs="Times New Roman"/>
          <w:color w:val="auto"/>
          <w:kern w:val="0"/>
          <w:sz w:val="30"/>
          <w:szCs w:val="30"/>
        </w:rPr>
      </w:pPr>
    </w:p>
    <w:p>
      <w:pPr>
        <w:widowControl/>
        <w:spacing w:line="384" w:lineRule="auto"/>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br/>
      </w:r>
    </w:p>
    <w:p>
      <w:pPr>
        <w:widowControl/>
        <w:spacing w:line="384" w:lineRule="auto"/>
        <w:ind w:right="600"/>
        <w:jc w:val="center"/>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 xml:space="preserve">                                 单位（盖章）：</w:t>
      </w:r>
    </w:p>
    <w:p>
      <w:pPr>
        <w:widowControl/>
        <w:spacing w:line="384" w:lineRule="auto"/>
        <w:ind w:right="900" w:firstLine="5400" w:firstLineChars="1800"/>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年  月  日</w:t>
      </w:r>
    </w:p>
    <w:p>
      <w:pPr>
        <w:widowControl/>
        <w:spacing w:line="384" w:lineRule="auto"/>
        <w:ind w:right="900" w:firstLine="5400" w:firstLineChars="1800"/>
        <w:rPr>
          <w:rFonts w:ascii="Times New Roman" w:hAnsi="Times New Roman" w:eastAsia="仿宋_GB2312" w:cs="Times New Roman"/>
          <w:color w:val="auto"/>
          <w:kern w:val="0"/>
          <w:sz w:val="30"/>
          <w:szCs w:val="30"/>
        </w:rPr>
      </w:pPr>
    </w:p>
    <w:p>
      <w:pPr>
        <w:rPr>
          <w:rFonts w:ascii="Times New Roman" w:hAnsi="Times New Roman" w:cs="Times New Roman"/>
          <w:color w:val="auto"/>
        </w:rPr>
      </w:pPr>
    </w:p>
    <w:p>
      <w:pPr>
        <w:rPr>
          <w:rFonts w:ascii="Times New Roman" w:hAnsi="Times New Roman" w:cs="Times New Roman"/>
          <w:color w:val="auto"/>
        </w:rPr>
      </w:pPr>
    </w:p>
    <w:sectPr>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 PAGE   \* MERGEFORMAT </w:instrText>
    </w:r>
    <w:r>
      <w:fldChar w:fldCharType="separate"/>
    </w:r>
    <w:r>
      <w:rPr>
        <w:lang w:val="zh-CN"/>
      </w:rPr>
      <w:t>1</w:t>
    </w:r>
    <w:r>
      <w:rPr>
        <w:lang w:val="zh-CN"/>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 PAGE   \* MERGEFORMAT </w:instrText>
    </w:r>
    <w:r>
      <w:fldChar w:fldCharType="separate"/>
    </w:r>
    <w:r>
      <w:rPr>
        <w:lang w:val="zh-CN"/>
      </w:rPr>
      <w:t>14</w:t>
    </w:r>
    <w:r>
      <w:rPr>
        <w:lang w:val="zh-CN"/>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 PAGE   \* MERGEFORMAT </w:instrText>
    </w:r>
    <w:r>
      <w:fldChar w:fldCharType="separate"/>
    </w:r>
    <w:r>
      <w:rPr>
        <w:lang w:val="zh-CN"/>
      </w:rPr>
      <w:t>15</w:t>
    </w:r>
    <w:r>
      <w:rPr>
        <w:lang w:val="zh-CN"/>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08604934">
    <w:nsid w:val="5FE15D06"/>
    <w:multiLevelType w:val="singleLevel"/>
    <w:tmpl w:val="5FE15D06"/>
    <w:lvl w:ilvl="0" w:tentative="1">
      <w:start w:val="2"/>
      <w:numFmt w:val="decimal"/>
      <w:suff w:val="nothing"/>
      <w:lvlText w:val="%1."/>
      <w:lvlJc w:val="left"/>
    </w:lvl>
  </w:abstractNum>
  <w:num w:numId="1">
    <w:abstractNumId w:val="16086049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B19B3"/>
    <w:rsid w:val="000003C0"/>
    <w:rsid w:val="000021D6"/>
    <w:rsid w:val="00004BD5"/>
    <w:rsid w:val="00007A67"/>
    <w:rsid w:val="000233D5"/>
    <w:rsid w:val="00027E45"/>
    <w:rsid w:val="000351A4"/>
    <w:rsid w:val="00037A07"/>
    <w:rsid w:val="0004414D"/>
    <w:rsid w:val="00050681"/>
    <w:rsid w:val="00061C5F"/>
    <w:rsid w:val="000652D6"/>
    <w:rsid w:val="00070716"/>
    <w:rsid w:val="000B0E34"/>
    <w:rsid w:val="000D3467"/>
    <w:rsid w:val="000D61BB"/>
    <w:rsid w:val="000E2AD6"/>
    <w:rsid w:val="000E2D98"/>
    <w:rsid w:val="000E55BC"/>
    <w:rsid w:val="000E5910"/>
    <w:rsid w:val="000F1C17"/>
    <w:rsid w:val="000F24B5"/>
    <w:rsid w:val="00102A7C"/>
    <w:rsid w:val="00106460"/>
    <w:rsid w:val="001156C5"/>
    <w:rsid w:val="001172B3"/>
    <w:rsid w:val="00134BF3"/>
    <w:rsid w:val="00140DE8"/>
    <w:rsid w:val="001418D3"/>
    <w:rsid w:val="001437E6"/>
    <w:rsid w:val="00154329"/>
    <w:rsid w:val="00163202"/>
    <w:rsid w:val="001870AC"/>
    <w:rsid w:val="00193A89"/>
    <w:rsid w:val="00195B37"/>
    <w:rsid w:val="001A1E83"/>
    <w:rsid w:val="001A61DE"/>
    <w:rsid w:val="001C084E"/>
    <w:rsid w:val="001C2B84"/>
    <w:rsid w:val="001C3568"/>
    <w:rsid w:val="001C4BB1"/>
    <w:rsid w:val="001D095F"/>
    <w:rsid w:val="001D2DD9"/>
    <w:rsid w:val="001D56F0"/>
    <w:rsid w:val="001D5C07"/>
    <w:rsid w:val="001E37D7"/>
    <w:rsid w:val="001F1B4B"/>
    <w:rsid w:val="001F2A75"/>
    <w:rsid w:val="00212F1A"/>
    <w:rsid w:val="00215F91"/>
    <w:rsid w:val="002178A9"/>
    <w:rsid w:val="002226D7"/>
    <w:rsid w:val="0023361F"/>
    <w:rsid w:val="00233CB8"/>
    <w:rsid w:val="00233F9E"/>
    <w:rsid w:val="00235C6D"/>
    <w:rsid w:val="002453CB"/>
    <w:rsid w:val="00253212"/>
    <w:rsid w:val="00254875"/>
    <w:rsid w:val="00256B77"/>
    <w:rsid w:val="002654CB"/>
    <w:rsid w:val="00266E25"/>
    <w:rsid w:val="00273E50"/>
    <w:rsid w:val="002756E4"/>
    <w:rsid w:val="002A0834"/>
    <w:rsid w:val="002B0553"/>
    <w:rsid w:val="002B05F7"/>
    <w:rsid w:val="002B3F08"/>
    <w:rsid w:val="002B4E65"/>
    <w:rsid w:val="002C7EAF"/>
    <w:rsid w:val="002F2577"/>
    <w:rsid w:val="002F6202"/>
    <w:rsid w:val="00316E50"/>
    <w:rsid w:val="00316F0E"/>
    <w:rsid w:val="00321272"/>
    <w:rsid w:val="00325547"/>
    <w:rsid w:val="00326B8C"/>
    <w:rsid w:val="003314E4"/>
    <w:rsid w:val="00331E1E"/>
    <w:rsid w:val="003371EB"/>
    <w:rsid w:val="00337ED9"/>
    <w:rsid w:val="00345800"/>
    <w:rsid w:val="003508A5"/>
    <w:rsid w:val="00354A7C"/>
    <w:rsid w:val="00364BB9"/>
    <w:rsid w:val="00377012"/>
    <w:rsid w:val="00387FD0"/>
    <w:rsid w:val="00396CD5"/>
    <w:rsid w:val="003A1721"/>
    <w:rsid w:val="003A2E79"/>
    <w:rsid w:val="003A4630"/>
    <w:rsid w:val="003A496B"/>
    <w:rsid w:val="003B1325"/>
    <w:rsid w:val="003B6057"/>
    <w:rsid w:val="003C3480"/>
    <w:rsid w:val="003C5C1F"/>
    <w:rsid w:val="003D1EDA"/>
    <w:rsid w:val="003D1F9B"/>
    <w:rsid w:val="003D2BBB"/>
    <w:rsid w:val="003D3BB2"/>
    <w:rsid w:val="003D7B66"/>
    <w:rsid w:val="00404086"/>
    <w:rsid w:val="0040580D"/>
    <w:rsid w:val="00413782"/>
    <w:rsid w:val="00417C88"/>
    <w:rsid w:val="004311DF"/>
    <w:rsid w:val="00436919"/>
    <w:rsid w:val="00437717"/>
    <w:rsid w:val="0044021E"/>
    <w:rsid w:val="00445A64"/>
    <w:rsid w:val="0045411C"/>
    <w:rsid w:val="004573E4"/>
    <w:rsid w:val="00460F9A"/>
    <w:rsid w:val="004735FC"/>
    <w:rsid w:val="004924A7"/>
    <w:rsid w:val="004935B2"/>
    <w:rsid w:val="00497B08"/>
    <w:rsid w:val="00497FC6"/>
    <w:rsid w:val="004A6503"/>
    <w:rsid w:val="004B1BDA"/>
    <w:rsid w:val="004B3A9F"/>
    <w:rsid w:val="004C5477"/>
    <w:rsid w:val="004D3F83"/>
    <w:rsid w:val="004E4AD4"/>
    <w:rsid w:val="004E746C"/>
    <w:rsid w:val="004E7E2D"/>
    <w:rsid w:val="00512742"/>
    <w:rsid w:val="00512786"/>
    <w:rsid w:val="00514ABC"/>
    <w:rsid w:val="005263C0"/>
    <w:rsid w:val="00544909"/>
    <w:rsid w:val="00551A5A"/>
    <w:rsid w:val="0056706F"/>
    <w:rsid w:val="00567128"/>
    <w:rsid w:val="005845DF"/>
    <w:rsid w:val="00584DF2"/>
    <w:rsid w:val="0058649D"/>
    <w:rsid w:val="00593352"/>
    <w:rsid w:val="00595487"/>
    <w:rsid w:val="005A32AB"/>
    <w:rsid w:val="005A3A70"/>
    <w:rsid w:val="005A61D4"/>
    <w:rsid w:val="005B322C"/>
    <w:rsid w:val="005C4A17"/>
    <w:rsid w:val="005E1F6F"/>
    <w:rsid w:val="005E6464"/>
    <w:rsid w:val="005F1522"/>
    <w:rsid w:val="005F1DCD"/>
    <w:rsid w:val="005F3C89"/>
    <w:rsid w:val="005F5952"/>
    <w:rsid w:val="006017F9"/>
    <w:rsid w:val="00603617"/>
    <w:rsid w:val="00611E81"/>
    <w:rsid w:val="0064768C"/>
    <w:rsid w:val="006509E6"/>
    <w:rsid w:val="00654AA7"/>
    <w:rsid w:val="006553EF"/>
    <w:rsid w:val="006603EC"/>
    <w:rsid w:val="006667EE"/>
    <w:rsid w:val="006675D3"/>
    <w:rsid w:val="00673F17"/>
    <w:rsid w:val="00675C64"/>
    <w:rsid w:val="006847AE"/>
    <w:rsid w:val="00693E03"/>
    <w:rsid w:val="00696646"/>
    <w:rsid w:val="00696A7B"/>
    <w:rsid w:val="006B1D92"/>
    <w:rsid w:val="006B28AD"/>
    <w:rsid w:val="006B3076"/>
    <w:rsid w:val="006B5EF5"/>
    <w:rsid w:val="006B6370"/>
    <w:rsid w:val="006B71D2"/>
    <w:rsid w:val="006C4C39"/>
    <w:rsid w:val="006C5121"/>
    <w:rsid w:val="006D3427"/>
    <w:rsid w:val="006D6A5B"/>
    <w:rsid w:val="006E7C82"/>
    <w:rsid w:val="006F61C6"/>
    <w:rsid w:val="0071311B"/>
    <w:rsid w:val="007157B6"/>
    <w:rsid w:val="0072541C"/>
    <w:rsid w:val="00732949"/>
    <w:rsid w:val="0073340E"/>
    <w:rsid w:val="00735659"/>
    <w:rsid w:val="00735A28"/>
    <w:rsid w:val="007510E5"/>
    <w:rsid w:val="007544BC"/>
    <w:rsid w:val="007632A0"/>
    <w:rsid w:val="007634FF"/>
    <w:rsid w:val="0076451B"/>
    <w:rsid w:val="007704CD"/>
    <w:rsid w:val="0078686C"/>
    <w:rsid w:val="00795D93"/>
    <w:rsid w:val="007A1978"/>
    <w:rsid w:val="007B0E48"/>
    <w:rsid w:val="007B0EBE"/>
    <w:rsid w:val="007B6675"/>
    <w:rsid w:val="007D1D7B"/>
    <w:rsid w:val="007E7441"/>
    <w:rsid w:val="007F233E"/>
    <w:rsid w:val="0080044E"/>
    <w:rsid w:val="0081373A"/>
    <w:rsid w:val="00815287"/>
    <w:rsid w:val="00824D07"/>
    <w:rsid w:val="008269C3"/>
    <w:rsid w:val="00827911"/>
    <w:rsid w:val="00832D42"/>
    <w:rsid w:val="00833A95"/>
    <w:rsid w:val="00834DF4"/>
    <w:rsid w:val="00837990"/>
    <w:rsid w:val="00841DE9"/>
    <w:rsid w:val="00842C2F"/>
    <w:rsid w:val="00846D5D"/>
    <w:rsid w:val="00864463"/>
    <w:rsid w:val="00865B37"/>
    <w:rsid w:val="00871300"/>
    <w:rsid w:val="00871BB2"/>
    <w:rsid w:val="0087457D"/>
    <w:rsid w:val="008767C3"/>
    <w:rsid w:val="00876926"/>
    <w:rsid w:val="008A068A"/>
    <w:rsid w:val="008A0A76"/>
    <w:rsid w:val="008A53DB"/>
    <w:rsid w:val="008A6143"/>
    <w:rsid w:val="008A6DDB"/>
    <w:rsid w:val="008A6EEC"/>
    <w:rsid w:val="008B019D"/>
    <w:rsid w:val="008B4359"/>
    <w:rsid w:val="008C33D3"/>
    <w:rsid w:val="008D285E"/>
    <w:rsid w:val="008E0D30"/>
    <w:rsid w:val="008E324F"/>
    <w:rsid w:val="008E57E6"/>
    <w:rsid w:val="008E6700"/>
    <w:rsid w:val="008F3E08"/>
    <w:rsid w:val="008F5475"/>
    <w:rsid w:val="00916523"/>
    <w:rsid w:val="009245CA"/>
    <w:rsid w:val="009347F8"/>
    <w:rsid w:val="009379DE"/>
    <w:rsid w:val="00945AC3"/>
    <w:rsid w:val="009516B1"/>
    <w:rsid w:val="009545B6"/>
    <w:rsid w:val="009568D7"/>
    <w:rsid w:val="00960764"/>
    <w:rsid w:val="009640DB"/>
    <w:rsid w:val="00966422"/>
    <w:rsid w:val="00970C40"/>
    <w:rsid w:val="009732FA"/>
    <w:rsid w:val="00976900"/>
    <w:rsid w:val="00977A16"/>
    <w:rsid w:val="00981057"/>
    <w:rsid w:val="00984619"/>
    <w:rsid w:val="009849B6"/>
    <w:rsid w:val="00985C45"/>
    <w:rsid w:val="00986690"/>
    <w:rsid w:val="0098731F"/>
    <w:rsid w:val="009976AB"/>
    <w:rsid w:val="009A32EE"/>
    <w:rsid w:val="009A6053"/>
    <w:rsid w:val="009B0566"/>
    <w:rsid w:val="009B19B3"/>
    <w:rsid w:val="009B4EC4"/>
    <w:rsid w:val="009D2CA3"/>
    <w:rsid w:val="009D7865"/>
    <w:rsid w:val="009F0EE6"/>
    <w:rsid w:val="00A011E0"/>
    <w:rsid w:val="00A019DC"/>
    <w:rsid w:val="00A053EC"/>
    <w:rsid w:val="00A20682"/>
    <w:rsid w:val="00A20869"/>
    <w:rsid w:val="00A21B4B"/>
    <w:rsid w:val="00A23CC9"/>
    <w:rsid w:val="00A31633"/>
    <w:rsid w:val="00A333A8"/>
    <w:rsid w:val="00A33C4E"/>
    <w:rsid w:val="00A42BA0"/>
    <w:rsid w:val="00A437F1"/>
    <w:rsid w:val="00A4638A"/>
    <w:rsid w:val="00A56380"/>
    <w:rsid w:val="00A724BB"/>
    <w:rsid w:val="00A76F2C"/>
    <w:rsid w:val="00A828DC"/>
    <w:rsid w:val="00A85917"/>
    <w:rsid w:val="00A86C39"/>
    <w:rsid w:val="00AA2782"/>
    <w:rsid w:val="00AB1454"/>
    <w:rsid w:val="00AC2C69"/>
    <w:rsid w:val="00AD6356"/>
    <w:rsid w:val="00AD7F95"/>
    <w:rsid w:val="00AE1454"/>
    <w:rsid w:val="00AE1E55"/>
    <w:rsid w:val="00AF3753"/>
    <w:rsid w:val="00AF57E1"/>
    <w:rsid w:val="00B03FA1"/>
    <w:rsid w:val="00B047C5"/>
    <w:rsid w:val="00B063D5"/>
    <w:rsid w:val="00B11981"/>
    <w:rsid w:val="00B14564"/>
    <w:rsid w:val="00B150F1"/>
    <w:rsid w:val="00B1706B"/>
    <w:rsid w:val="00B241DC"/>
    <w:rsid w:val="00B24922"/>
    <w:rsid w:val="00B327C8"/>
    <w:rsid w:val="00B35ADB"/>
    <w:rsid w:val="00B37501"/>
    <w:rsid w:val="00B43476"/>
    <w:rsid w:val="00B44E28"/>
    <w:rsid w:val="00B525C6"/>
    <w:rsid w:val="00B61130"/>
    <w:rsid w:val="00B614A1"/>
    <w:rsid w:val="00B73A28"/>
    <w:rsid w:val="00B84802"/>
    <w:rsid w:val="00B87216"/>
    <w:rsid w:val="00B94AEF"/>
    <w:rsid w:val="00BA5B48"/>
    <w:rsid w:val="00BB3C0B"/>
    <w:rsid w:val="00BB6FB7"/>
    <w:rsid w:val="00BB71AE"/>
    <w:rsid w:val="00BC4ACD"/>
    <w:rsid w:val="00BD1960"/>
    <w:rsid w:val="00BE47E8"/>
    <w:rsid w:val="00BF58A4"/>
    <w:rsid w:val="00BF69EA"/>
    <w:rsid w:val="00C01288"/>
    <w:rsid w:val="00C20EC9"/>
    <w:rsid w:val="00C266D2"/>
    <w:rsid w:val="00C26BC0"/>
    <w:rsid w:val="00C314B5"/>
    <w:rsid w:val="00C31ECE"/>
    <w:rsid w:val="00C34F82"/>
    <w:rsid w:val="00C4111F"/>
    <w:rsid w:val="00C5180B"/>
    <w:rsid w:val="00C545CE"/>
    <w:rsid w:val="00C5521A"/>
    <w:rsid w:val="00C57574"/>
    <w:rsid w:val="00C659B4"/>
    <w:rsid w:val="00C66EDA"/>
    <w:rsid w:val="00C71261"/>
    <w:rsid w:val="00C903FE"/>
    <w:rsid w:val="00C90E8C"/>
    <w:rsid w:val="00C95743"/>
    <w:rsid w:val="00CA4D41"/>
    <w:rsid w:val="00CA5928"/>
    <w:rsid w:val="00CB1ED8"/>
    <w:rsid w:val="00CB751C"/>
    <w:rsid w:val="00CC02F5"/>
    <w:rsid w:val="00CC2FE6"/>
    <w:rsid w:val="00CD6F3B"/>
    <w:rsid w:val="00CE1482"/>
    <w:rsid w:val="00CE55F6"/>
    <w:rsid w:val="00CF249D"/>
    <w:rsid w:val="00CF5E83"/>
    <w:rsid w:val="00D007CE"/>
    <w:rsid w:val="00D01106"/>
    <w:rsid w:val="00D07C35"/>
    <w:rsid w:val="00D143B3"/>
    <w:rsid w:val="00D16C12"/>
    <w:rsid w:val="00D224E4"/>
    <w:rsid w:val="00D3006E"/>
    <w:rsid w:val="00D327EC"/>
    <w:rsid w:val="00D3615F"/>
    <w:rsid w:val="00D402BA"/>
    <w:rsid w:val="00D408D0"/>
    <w:rsid w:val="00D55E8C"/>
    <w:rsid w:val="00D80592"/>
    <w:rsid w:val="00D81AB8"/>
    <w:rsid w:val="00D85E50"/>
    <w:rsid w:val="00D92ED1"/>
    <w:rsid w:val="00DA5B01"/>
    <w:rsid w:val="00DB2D9A"/>
    <w:rsid w:val="00DD10B4"/>
    <w:rsid w:val="00DD4792"/>
    <w:rsid w:val="00DD6A30"/>
    <w:rsid w:val="00DE791B"/>
    <w:rsid w:val="00DF15BD"/>
    <w:rsid w:val="00DF7356"/>
    <w:rsid w:val="00E02AE9"/>
    <w:rsid w:val="00E049C8"/>
    <w:rsid w:val="00E129F8"/>
    <w:rsid w:val="00E144BB"/>
    <w:rsid w:val="00E27EE9"/>
    <w:rsid w:val="00E30DEB"/>
    <w:rsid w:val="00E33EFE"/>
    <w:rsid w:val="00E430A6"/>
    <w:rsid w:val="00E46A26"/>
    <w:rsid w:val="00E505E0"/>
    <w:rsid w:val="00E55B0D"/>
    <w:rsid w:val="00E61CED"/>
    <w:rsid w:val="00E645AF"/>
    <w:rsid w:val="00E75B2F"/>
    <w:rsid w:val="00E77119"/>
    <w:rsid w:val="00E92470"/>
    <w:rsid w:val="00E955CC"/>
    <w:rsid w:val="00EA12C1"/>
    <w:rsid w:val="00EA2A2D"/>
    <w:rsid w:val="00EA3634"/>
    <w:rsid w:val="00EA5CDF"/>
    <w:rsid w:val="00EA6B80"/>
    <w:rsid w:val="00EB156E"/>
    <w:rsid w:val="00EB574D"/>
    <w:rsid w:val="00EB6DFA"/>
    <w:rsid w:val="00EC0133"/>
    <w:rsid w:val="00EC36EB"/>
    <w:rsid w:val="00EC7A79"/>
    <w:rsid w:val="00ED3C09"/>
    <w:rsid w:val="00EE1E1E"/>
    <w:rsid w:val="00EE29F0"/>
    <w:rsid w:val="00EE36F3"/>
    <w:rsid w:val="00EE69DD"/>
    <w:rsid w:val="00EF5BC8"/>
    <w:rsid w:val="00F005E2"/>
    <w:rsid w:val="00F10FD7"/>
    <w:rsid w:val="00F16F75"/>
    <w:rsid w:val="00F201F4"/>
    <w:rsid w:val="00F21D92"/>
    <w:rsid w:val="00F32657"/>
    <w:rsid w:val="00F36247"/>
    <w:rsid w:val="00F405D0"/>
    <w:rsid w:val="00F4072A"/>
    <w:rsid w:val="00F416D6"/>
    <w:rsid w:val="00F424E1"/>
    <w:rsid w:val="00F45FB3"/>
    <w:rsid w:val="00F50CE9"/>
    <w:rsid w:val="00F52218"/>
    <w:rsid w:val="00F53245"/>
    <w:rsid w:val="00F5552D"/>
    <w:rsid w:val="00F61D32"/>
    <w:rsid w:val="00F622F9"/>
    <w:rsid w:val="00F62A8B"/>
    <w:rsid w:val="00F6439F"/>
    <w:rsid w:val="00F8030E"/>
    <w:rsid w:val="00F8305D"/>
    <w:rsid w:val="00F85E60"/>
    <w:rsid w:val="00F87754"/>
    <w:rsid w:val="00FA48B7"/>
    <w:rsid w:val="00FC6843"/>
    <w:rsid w:val="00FC754C"/>
    <w:rsid w:val="00FD19D2"/>
    <w:rsid w:val="00FF083E"/>
    <w:rsid w:val="00FF35CC"/>
    <w:rsid w:val="02961C63"/>
    <w:rsid w:val="0FAF3253"/>
    <w:rsid w:val="11311F96"/>
    <w:rsid w:val="1CDB3593"/>
    <w:rsid w:val="3996388A"/>
    <w:rsid w:val="3DF9176C"/>
    <w:rsid w:val="43F40AC5"/>
    <w:rsid w:val="4889239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Straight Connector 86"/>
        <o:r id="V:Rule2" type="connector" idref="#Straight Connector 90"/>
        <o:r id="V:Rule3" type="connector" idref="#Straight Connector 94"/>
        <o:r id="V:Rule4" type="connector" idref="#Straight Connector 88"/>
        <o:r id="V:Rule5" type="connector" idref="#Straight Connector 92"/>
        <o:r id="V:Rule6" type="connector" idref="#Straight Connector 93"/>
        <o:r id="V:Rule7" type="connector" idref="#Straight Connector 91"/>
        <o:r id="V:Rule8" type="connector" idref="#Straight Connector 87"/>
        <o:r id="V:Rule9" type="connector" idref="#Straight Connector 95"/>
        <o:r id="V:Rule10" type="connector" idref="#Straight Connector 89"/>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Balloon Text"/>
    <w:basedOn w:val="1"/>
    <w:link w:val="14"/>
    <w:unhideWhenUsed/>
    <w:uiPriority w:val="99"/>
    <w:rPr>
      <w:sz w:val="18"/>
      <w:szCs w:val="18"/>
    </w:r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u w:val="single"/>
    </w:rPr>
  </w:style>
  <w:style w:type="table" w:styleId="8">
    <w:name w:val="Table Grid"/>
    <w:basedOn w:val="7"/>
    <w:uiPriority w:val="59"/>
    <w:pPr/>
    <w:tblPr>
      <w:tblStyle w:val="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9">
    <w:name w:val="List Paragraph"/>
    <w:basedOn w:val="1"/>
    <w:qFormat/>
    <w:uiPriority w:val="34"/>
    <w:pPr>
      <w:ind w:firstLine="420" w:firstLineChars="200"/>
    </w:pPr>
  </w:style>
  <w:style w:type="paragraph" w:customStyle="1" w:styleId="10">
    <w:name w:val="Revision"/>
    <w:hidden/>
    <w:semiHidden/>
    <w:uiPriority w:val="99"/>
    <w:rPr>
      <w:rFonts w:ascii="Calibri" w:hAnsi="Calibri" w:eastAsia="宋体" w:cs="黑体"/>
      <w:kern w:val="2"/>
      <w:sz w:val="21"/>
      <w:szCs w:val="22"/>
      <w:lang w:val="en-US" w:eastAsia="zh-CN" w:bidi="ar-SA"/>
    </w:rPr>
  </w:style>
  <w:style w:type="paragraph" w:customStyle="1" w:styleId="11">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12">
    <w:name w:val="页眉 Char"/>
    <w:basedOn w:val="5"/>
    <w:link w:val="4"/>
    <w:uiPriority w:val="99"/>
    <w:rPr>
      <w:sz w:val="18"/>
      <w:szCs w:val="18"/>
    </w:rPr>
  </w:style>
  <w:style w:type="character" w:customStyle="1" w:styleId="13">
    <w:name w:val="页脚 Char"/>
    <w:basedOn w:val="5"/>
    <w:link w:val="3"/>
    <w:uiPriority w:val="99"/>
    <w:rPr>
      <w:sz w:val="18"/>
      <w:szCs w:val="18"/>
    </w:rPr>
  </w:style>
  <w:style w:type="character" w:customStyle="1" w:styleId="14">
    <w:name w:val="批注框文本 Char"/>
    <w:basedOn w:val="5"/>
    <w:link w:val="2"/>
    <w:semiHidden/>
    <w:uiPriority w:val="99"/>
    <w:rPr>
      <w:sz w:val="18"/>
      <w:szCs w:val="18"/>
    </w:rPr>
  </w:style>
  <w:style w:type="character" w:customStyle="1" w:styleId="15">
    <w:name w:val="mini-outputtext"/>
    <w:basedOn w:val="5"/>
    <w:uiPriority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875</Words>
  <Characters>4994</Characters>
  <Lines>41</Lines>
  <Paragraphs>11</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2020-04-22T08:12:00Z</dcterms:created>
  <dc:creator>吴</dc:creator>
  <cp:lastModifiedBy>丁蒙/办公室/南宁/PBC</cp:lastModifiedBy>
  <cp:lastPrinted>2020-05-08T08:38:00Z</cp:lastPrinted>
  <dcterms:modified xsi:type="dcterms:W3CDTF">2022-07-01T00:57:38Z</dcterms:modified>
  <dc:title>编号：57001-2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