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right="300"/>
        <w:jc w:val="left"/>
        <w:rPr>
          <w:rFonts w:hint="eastAsia" w:ascii="黑体" w:hAnsi="黑体" w:eastAsia="黑体" w:cs="黑体"/>
          <w:color w:val="auto"/>
          <w:sz w:val="30"/>
          <w:szCs w:val="30"/>
        </w:rPr>
      </w:pPr>
      <w:r>
        <w:rPr>
          <w:rFonts w:hint="eastAsia" w:ascii="黑体" w:hAnsi="黑体" w:eastAsia="黑体" w:cs="黑体"/>
          <w:color w:val="auto"/>
          <w:sz w:val="30"/>
          <w:szCs w:val="30"/>
        </w:rPr>
        <w:t xml:space="preserve">编号：57001-1           </w:t>
      </w:r>
    </w:p>
    <w:p>
      <w:pPr>
        <w:ind w:right="300"/>
        <w:jc w:val="center"/>
        <w:rPr>
          <w:rFonts w:ascii="Times New Roman" w:hAnsi="Times New Roman" w:eastAsia="黑体" w:cs="Times New Roman"/>
          <w:color w:val="auto"/>
          <w:sz w:val="30"/>
          <w:szCs w:val="30"/>
        </w:rPr>
      </w:pPr>
    </w:p>
    <w:p>
      <w:pPr>
        <w:ind w:right="300"/>
        <w:jc w:val="center"/>
        <w:rPr>
          <w:rFonts w:ascii="Times New Roman" w:hAnsi="Times New Roman" w:eastAsia="黑体" w:cs="Times New Roman"/>
          <w:color w:val="auto"/>
          <w:sz w:val="30"/>
          <w:szCs w:val="30"/>
        </w:rPr>
      </w:pPr>
    </w:p>
    <w:p>
      <w:pPr>
        <w:ind w:right="300"/>
        <w:jc w:val="center"/>
        <w:rPr>
          <w:rFonts w:ascii="Times New Roman" w:hAnsi="Times New Roman" w:eastAsia="黑体" w:cs="Times New Roman"/>
          <w:color w:val="auto"/>
          <w:sz w:val="30"/>
          <w:szCs w:val="30"/>
        </w:rPr>
      </w:pPr>
    </w:p>
    <w:p>
      <w:pPr>
        <w:ind w:right="300"/>
        <w:jc w:val="center"/>
        <w:rPr>
          <w:rFonts w:ascii="Times New Roman" w:hAnsi="Times New Roman" w:eastAsia="黑体" w:cs="Times New Roman"/>
          <w:color w:val="auto"/>
          <w:sz w:val="52"/>
          <w:szCs w:val="52"/>
        </w:rPr>
      </w:pPr>
    </w:p>
    <w:p>
      <w:pPr>
        <w:ind w:right="300"/>
        <w:jc w:val="center"/>
        <w:rPr>
          <w:rFonts w:ascii="Times New Roman" w:hAnsi="Times New Roman" w:eastAsia="黑体" w:cs="Times New Roman"/>
          <w:color w:val="auto"/>
          <w:sz w:val="52"/>
          <w:szCs w:val="52"/>
        </w:rPr>
      </w:pPr>
      <w:r>
        <w:rPr>
          <w:rFonts w:ascii="Times New Roman" w:hAnsi="Times New Roman" w:eastAsia="黑体" w:cs="Times New Roman"/>
          <w:color w:val="auto"/>
          <w:sz w:val="52"/>
          <w:szCs w:val="52"/>
        </w:rPr>
        <w:t>“进口单位名录登记”</w:t>
      </w:r>
    </w:p>
    <w:p>
      <w:pPr>
        <w:ind w:right="300"/>
        <w:jc w:val="center"/>
        <w:rPr>
          <w:rFonts w:ascii="Times New Roman" w:hAnsi="Times New Roman" w:eastAsia="黑体" w:cs="Times New Roman"/>
          <w:color w:val="auto"/>
          <w:sz w:val="52"/>
          <w:szCs w:val="52"/>
        </w:rPr>
      </w:pPr>
      <w:r>
        <w:rPr>
          <w:rFonts w:ascii="Times New Roman" w:hAnsi="Times New Roman" w:eastAsia="黑体" w:cs="Times New Roman"/>
          <w:color w:val="auto"/>
          <w:sz w:val="52"/>
          <w:szCs w:val="52"/>
        </w:rPr>
        <w:t>行政审批服务指南</w:t>
      </w: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hint="eastAsia" w:ascii="宋体" w:hAnsi="宋体" w:eastAsia="宋体" w:cs="宋体"/>
          <w:b w:val="0"/>
          <w:bCs w:val="0"/>
          <w:color w:val="auto"/>
          <w:sz w:val="40"/>
          <w:szCs w:val="40"/>
          <w:lang w:val="en-US" w:eastAsia="zh-CN"/>
        </w:rPr>
      </w:pPr>
      <w:r>
        <w:rPr>
          <w:rFonts w:hint="eastAsia" w:ascii="宋体" w:hAnsi="宋体" w:eastAsia="宋体" w:cs="宋体"/>
          <w:b w:val="0"/>
          <w:bCs w:val="0"/>
          <w:color w:val="auto"/>
          <w:sz w:val="40"/>
          <w:szCs w:val="40"/>
          <w:lang w:val="en-US" w:eastAsia="zh-CN"/>
        </w:rPr>
        <w:t>国家外汇管理局广西壮族自治区分局</w:t>
      </w:r>
    </w:p>
    <w:p>
      <w:pPr>
        <w:pStyle w:val="12"/>
        <w:widowControl w:val="0"/>
        <w:wordWrap/>
        <w:autoSpaceDE w:val="0"/>
        <w:autoSpaceDN w:val="0"/>
        <w:adjustRightInd/>
        <w:snapToGrid/>
        <w:spacing w:before="0" w:after="0" w:line="560" w:lineRule="exact"/>
        <w:ind w:left="0" w:leftChars="0" w:right="0" w:firstLine="0" w:firstLineChars="0"/>
        <w:jc w:val="center"/>
        <w:textAlignment w:val="auto"/>
        <w:outlineLvl w:val="1"/>
        <w:rPr>
          <w:rFonts w:hint="eastAsia" w:ascii="宋体" w:hAnsi="宋体" w:eastAsia="宋体" w:cs="宋体"/>
          <w:b w:val="0"/>
          <w:bCs w:val="0"/>
          <w:color w:val="auto"/>
          <w:sz w:val="40"/>
          <w:szCs w:val="40"/>
          <w:lang w:val="en-US" w:eastAsia="zh-CN"/>
        </w:rPr>
      </w:pPr>
    </w:p>
    <w:p>
      <w:pPr>
        <w:ind w:right="300"/>
        <w:jc w:val="center"/>
        <w:rPr>
          <w:rFonts w:ascii="Times New Roman" w:hAnsi="Times New Roman" w:eastAsia="仿宋_GB2312" w:cs="Times New Roman"/>
          <w:color w:val="auto"/>
          <w:sz w:val="30"/>
          <w:szCs w:val="30"/>
        </w:rPr>
      </w:pPr>
      <w:r>
        <w:rPr>
          <w:rFonts w:hint="eastAsia" w:ascii="宋体" w:hAnsi="宋体" w:eastAsia="宋体" w:cs="宋体"/>
          <w:b w:val="0"/>
          <w:bCs w:val="0"/>
          <w:color w:val="auto"/>
          <w:sz w:val="40"/>
          <w:szCs w:val="40"/>
          <w:lang w:val="en-US" w:eastAsia="zh-CN"/>
        </w:rPr>
        <w:t>202</w:t>
      </w:r>
      <w:r>
        <w:rPr>
          <w:rFonts w:hint="eastAsia" w:ascii="宋体" w:hAnsi="宋体" w:cs="宋体"/>
          <w:b w:val="0"/>
          <w:bCs w:val="0"/>
          <w:color w:val="auto"/>
          <w:sz w:val="40"/>
          <w:szCs w:val="40"/>
          <w:lang w:val="en-US" w:eastAsia="zh-CN"/>
        </w:rPr>
        <w:t>2</w:t>
      </w:r>
      <w:r>
        <w:rPr>
          <w:rFonts w:hint="eastAsia" w:ascii="宋体" w:hAnsi="宋体" w:eastAsia="宋体" w:cs="宋体"/>
          <w:b w:val="0"/>
          <w:bCs w:val="0"/>
          <w:color w:val="auto"/>
          <w:sz w:val="40"/>
          <w:szCs w:val="40"/>
          <w:lang w:val="en-US" w:eastAsia="zh-CN"/>
        </w:rPr>
        <w:t>年</w:t>
      </w:r>
      <w:r>
        <w:rPr>
          <w:rFonts w:hint="eastAsia" w:ascii="宋体" w:hAnsi="宋体" w:cs="宋体"/>
          <w:b w:val="0"/>
          <w:bCs w:val="0"/>
          <w:color w:val="auto"/>
          <w:sz w:val="40"/>
          <w:szCs w:val="40"/>
          <w:lang w:val="en-US" w:eastAsia="zh-CN"/>
        </w:rPr>
        <w:t>6</w:t>
      </w:r>
      <w:r>
        <w:rPr>
          <w:rFonts w:hint="eastAsia" w:ascii="宋体" w:hAnsi="宋体" w:eastAsia="宋体" w:cs="宋体"/>
          <w:b w:val="0"/>
          <w:bCs w:val="0"/>
          <w:color w:val="auto"/>
          <w:sz w:val="40"/>
          <w:szCs w:val="40"/>
          <w:lang w:val="en-US" w:eastAsia="zh-CN"/>
        </w:rPr>
        <w:t>月</w:t>
      </w:r>
    </w:p>
    <w:p>
      <w:pPr>
        <w:ind w:right="300"/>
        <w:rPr>
          <w:rFonts w:ascii="Times New Roman" w:hAnsi="Times New Roman" w:eastAsia="仿宋_GB2312" w:cs="Times New Roman"/>
          <w:color w:val="auto"/>
          <w:sz w:val="30"/>
          <w:szCs w:val="30"/>
        </w:rPr>
      </w:pPr>
    </w:p>
    <w:p>
      <w:pPr>
        <w:ind w:right="300"/>
        <w:rPr>
          <w:rFonts w:ascii="Times New Roman" w:hAnsi="Times New Roman" w:eastAsia="仿宋_GB2312" w:cs="Times New Roman"/>
          <w:color w:val="auto"/>
          <w:sz w:val="30"/>
          <w:szCs w:val="30"/>
        </w:rPr>
        <w:sectPr>
          <w:footerReference r:id="rId5" w:type="first"/>
          <w:footerReference r:id="rId4" w:type="default"/>
          <w:pgSz w:w="11906" w:h="16838"/>
          <w:pgMar w:top="1440" w:right="1800" w:bottom="1440" w:left="1800" w:header="851" w:footer="992" w:gutter="0"/>
          <w:cols w:space="720" w:num="1"/>
          <w:docGrid w:type="lines" w:linePitch="312" w:charSpace="0"/>
        </w:sectPr>
      </w:pPr>
    </w:p>
    <w:p>
      <w:pPr>
        <w:adjustRightInd w:val="0"/>
        <w:snapToGrid w:val="0"/>
        <w:spacing w:line="360" w:lineRule="auto"/>
        <w:ind w:firstLine="600" w:firstLineChars="200"/>
        <w:jc w:val="left"/>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一、项目信息</w:t>
      </w:r>
    </w:p>
    <w:p>
      <w:pPr>
        <w:adjustRightInd w:val="0"/>
        <w:snapToGrid w:val="0"/>
        <w:spacing w:line="360" w:lineRule="auto"/>
        <w:ind w:firstLine="585"/>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项目名称：进口单位进口付汇核查；</w:t>
      </w:r>
    </w:p>
    <w:p>
      <w:pPr>
        <w:adjustRightInd w:val="0"/>
        <w:snapToGrid w:val="0"/>
        <w:spacing w:line="360" w:lineRule="auto"/>
        <w:ind w:firstLine="585"/>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项目编号：57001；</w:t>
      </w:r>
    </w:p>
    <w:p>
      <w:pPr>
        <w:adjustRightInd w:val="0"/>
        <w:snapToGrid w:val="0"/>
        <w:spacing w:line="360" w:lineRule="auto"/>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子项名称：进口单位名录登记；</w:t>
      </w:r>
    </w:p>
    <w:p>
      <w:pPr>
        <w:adjustRightInd w:val="0"/>
        <w:snapToGrid w:val="0"/>
        <w:spacing w:line="360" w:lineRule="auto"/>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审批类别：行政许可。</w:t>
      </w:r>
    </w:p>
    <w:p>
      <w:pPr>
        <w:adjustRightInd w:val="0"/>
        <w:snapToGrid w:val="0"/>
        <w:spacing w:line="360" w:lineRule="auto"/>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二、适用范围</w:t>
      </w:r>
    </w:p>
    <w:p>
      <w:pPr>
        <w:adjustRightInd w:val="0"/>
        <w:snapToGrid w:val="0"/>
        <w:spacing w:line="360" w:lineRule="auto"/>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本指南适用于“进口单位名录登记”的申请和办理。</w:t>
      </w:r>
    </w:p>
    <w:p>
      <w:pPr>
        <w:adjustRightInd w:val="0"/>
        <w:snapToGrid w:val="0"/>
        <w:spacing w:line="360" w:lineRule="auto"/>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三、设定依据</w:t>
      </w:r>
    </w:p>
    <w:p>
      <w:pPr>
        <w:adjustRightInd w:val="0"/>
        <w:snapToGrid w:val="0"/>
        <w:spacing w:line="360" w:lineRule="auto"/>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中华人民共和国外汇管理条例》（国务院令第532号）第十二条：“经常项目外汇收支应当具有真实、合法的交易基础。经营结汇、售汇业务的金融机构应当按照国务院外汇管理部门的规定，对交易单证的真实性及其与外汇收</w:t>
      </w:r>
      <w:bookmarkStart w:id="0" w:name="_GoBack"/>
      <w:bookmarkEnd w:id="0"/>
      <w:r>
        <w:rPr>
          <w:rFonts w:ascii="Times New Roman" w:hAnsi="Times New Roman" w:eastAsia="仿宋_GB2312" w:cs="Times New Roman"/>
          <w:color w:val="auto"/>
          <w:sz w:val="30"/>
          <w:szCs w:val="30"/>
        </w:rPr>
        <w:t>支的一致性进行合理审查。外汇管理机关有权对前款规定事项进行监督检查。”</w:t>
      </w:r>
    </w:p>
    <w:p>
      <w:pPr>
        <w:adjustRightInd w:val="0"/>
        <w:snapToGrid w:val="0"/>
        <w:spacing w:line="360" w:lineRule="auto"/>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（二）《国务院对确需保留的行政审批项目设定行政许可的决定》（国务院令第412号）附件第490项“进口单位进口付汇备案核准”。</w:t>
      </w:r>
    </w:p>
    <w:p>
      <w:pPr>
        <w:adjustRightInd w:val="0"/>
        <w:snapToGrid w:val="0"/>
        <w:spacing w:line="360" w:lineRule="auto"/>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四、办理依据</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（一）《中华人民共和国外汇管理条例》（国务院令第532号）；</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（二）《国家外汇管理局关于印发货物贸易外汇管理法规有关问题的通知》（汇发〔2012〕38号）；</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（三）《国家外汇管理局关于进一步促进跨境贸易投资便利化的通知》（汇发〔2019〕28号）。</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（四）《国家外汇管理局关于印发</w:t>
      </w:r>
      <w:r>
        <w:rPr>
          <w:rFonts w:hint="eastAsia" w:ascii="Times New Roman" w:hAnsi="Times New Roman" w:eastAsia="仿宋_GB2312" w:cs="Times New Roman"/>
          <w:color w:val="auto"/>
          <w:sz w:val="30"/>
          <w:szCs w:val="30"/>
        </w:rPr>
        <w:t>〈</w:t>
      </w:r>
      <w:r>
        <w:rPr>
          <w:rFonts w:ascii="Times New Roman" w:hAnsi="Times New Roman" w:eastAsia="仿宋_GB2312" w:cs="Times New Roman"/>
          <w:color w:val="auto"/>
          <w:sz w:val="30"/>
          <w:szCs w:val="30"/>
        </w:rPr>
        <w:t>支付机构外汇业务管理办法</w:t>
      </w:r>
      <w:r>
        <w:rPr>
          <w:rFonts w:hint="eastAsia" w:ascii="Times New Roman" w:hAnsi="Times New Roman" w:eastAsia="仿宋_GB2312" w:cs="Times New Roman"/>
          <w:color w:val="auto"/>
          <w:sz w:val="30"/>
          <w:szCs w:val="30"/>
        </w:rPr>
        <w:t>〉</w:t>
      </w:r>
      <w:r>
        <w:rPr>
          <w:rFonts w:ascii="Times New Roman" w:hAnsi="Times New Roman" w:eastAsia="仿宋_GB2312" w:cs="Times New Roman"/>
          <w:color w:val="auto"/>
          <w:sz w:val="30"/>
          <w:szCs w:val="30"/>
        </w:rPr>
        <w:t>的通知》（汇发〔2019〕13号）。</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（五）《国家外汇管理局关于支持贸易新业态发展的通知》（汇发〔2020〕11号）；</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（六）《国家外汇管理局关于印发</w:t>
      </w:r>
      <w:r>
        <w:rPr>
          <w:rFonts w:hint="eastAsia" w:ascii="Times New Roman" w:hAnsi="Times New Roman" w:eastAsia="仿宋_GB2312" w:cs="Times New Roman"/>
          <w:color w:val="auto"/>
          <w:sz w:val="30"/>
          <w:szCs w:val="30"/>
        </w:rPr>
        <w:t>〈</w:t>
      </w:r>
      <w:r>
        <w:rPr>
          <w:rFonts w:ascii="Times New Roman" w:hAnsi="Times New Roman" w:eastAsia="仿宋_GB2312" w:cs="Times New Roman"/>
          <w:color w:val="auto"/>
          <w:sz w:val="30"/>
          <w:szCs w:val="30"/>
        </w:rPr>
        <w:t>经常项目外汇业务指引</w:t>
      </w:r>
      <w:r>
        <w:rPr>
          <w:rFonts w:hint="eastAsia" w:ascii="Times New Roman" w:hAnsi="Times New Roman" w:eastAsia="仿宋_GB2312" w:cs="Times New Roman"/>
          <w:color w:val="auto"/>
          <w:sz w:val="30"/>
          <w:szCs w:val="30"/>
        </w:rPr>
        <w:t>（</w:t>
      </w:r>
      <w:r>
        <w:rPr>
          <w:rFonts w:ascii="Times New Roman" w:hAnsi="Times New Roman" w:eastAsia="仿宋_GB2312" w:cs="Times New Roman"/>
          <w:color w:val="auto"/>
          <w:sz w:val="30"/>
          <w:szCs w:val="30"/>
        </w:rPr>
        <w:t>2020年版</w:t>
      </w:r>
      <w:r>
        <w:rPr>
          <w:rFonts w:hint="eastAsia" w:ascii="Times New Roman" w:hAnsi="Times New Roman" w:eastAsia="仿宋_GB2312" w:cs="Times New Roman"/>
          <w:color w:val="auto"/>
          <w:sz w:val="30"/>
          <w:szCs w:val="30"/>
        </w:rPr>
        <w:t>）〉</w:t>
      </w:r>
      <w:r>
        <w:rPr>
          <w:rFonts w:ascii="Times New Roman" w:hAnsi="Times New Roman" w:eastAsia="仿宋_GB2312" w:cs="Times New Roman"/>
          <w:color w:val="auto"/>
          <w:sz w:val="30"/>
          <w:szCs w:val="30"/>
        </w:rPr>
        <w:t>的通知》（汇发〔2020〕14号）。</w:t>
      </w:r>
    </w:p>
    <w:p>
      <w:pPr>
        <w:adjustRightInd w:val="0"/>
        <w:snapToGrid w:val="0"/>
        <w:spacing w:line="360" w:lineRule="auto"/>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五、受理机构</w:t>
      </w:r>
    </w:p>
    <w:p>
      <w:pPr>
        <w:adjustRightInd w:val="0"/>
        <w:snapToGrid w:val="0"/>
        <w:spacing w:line="360" w:lineRule="auto"/>
        <w:ind w:firstLine="600" w:firstLineChars="200"/>
        <w:rPr>
          <w:rFonts w:ascii="Times New Roman" w:hAnsi="Times New Roman" w:eastAsia="黑体" w:cs="Times New Roman"/>
          <w:color w:val="auto"/>
          <w:sz w:val="30"/>
          <w:szCs w:val="30"/>
        </w:rPr>
      </w:pPr>
      <w:r>
        <w:rPr>
          <w:rFonts w:ascii="Times New Roman" w:hAnsi="Times New Roman" w:eastAsia="仿宋_GB2312" w:cs="Times New Roman"/>
          <w:color w:val="auto"/>
          <w:sz w:val="30"/>
          <w:szCs w:val="30"/>
        </w:rPr>
        <w:t>申请人注册所在地国家外汇管理局分支局（支付机构限于分局）。</w:t>
      </w:r>
    </w:p>
    <w:p>
      <w:pPr>
        <w:adjustRightInd w:val="0"/>
        <w:snapToGrid w:val="0"/>
        <w:spacing w:line="360" w:lineRule="auto"/>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六、决定机构</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申请人注册所在地国家外汇管理局分支局（支付机构、审核交易电子信息的银行限于分局）。</w:t>
      </w:r>
    </w:p>
    <w:p>
      <w:pPr>
        <w:adjustRightInd w:val="0"/>
        <w:snapToGrid w:val="0"/>
        <w:spacing w:line="360" w:lineRule="auto"/>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七、审批数量</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无数量限制。</w:t>
      </w:r>
    </w:p>
    <w:p>
      <w:pPr>
        <w:adjustRightInd w:val="0"/>
        <w:snapToGrid w:val="0"/>
        <w:spacing w:line="360" w:lineRule="auto"/>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八、办事条件</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新办条件。申请人为具有真实货物贸易外汇收支业务需求的企业（其他境内机构或个人对外贸易经营者确有客观需要开展货物贸易外汇收支业务的，可参照企业的有关规定办理）。其中：支付机构应具有支付业务合法资质，并符合《国家外汇管理局关于印发</w:t>
      </w:r>
      <w:r>
        <w:rPr>
          <w:rFonts w:hint="eastAsia" w:ascii="Times New Roman" w:hAnsi="Times New Roman" w:eastAsia="仿宋_GB2312" w:cs="Times New Roman"/>
          <w:color w:val="auto"/>
          <w:sz w:val="30"/>
          <w:szCs w:val="30"/>
        </w:rPr>
        <w:t>〈</w:t>
      </w:r>
      <w:r>
        <w:rPr>
          <w:rFonts w:ascii="Times New Roman" w:hAnsi="Times New Roman" w:eastAsia="仿宋_GB2312" w:cs="Times New Roman"/>
          <w:color w:val="auto"/>
          <w:sz w:val="30"/>
          <w:szCs w:val="30"/>
        </w:rPr>
        <w:t>支付机构外汇业务管理办法</w:t>
      </w:r>
      <w:r>
        <w:rPr>
          <w:rFonts w:hint="eastAsia" w:ascii="Times New Roman" w:hAnsi="Times New Roman" w:eastAsia="仿宋_GB2312" w:cs="Times New Roman"/>
          <w:color w:val="auto"/>
          <w:sz w:val="30"/>
          <w:szCs w:val="30"/>
        </w:rPr>
        <w:t>〉</w:t>
      </w:r>
      <w:r>
        <w:rPr>
          <w:rFonts w:ascii="Times New Roman" w:hAnsi="Times New Roman" w:eastAsia="仿宋_GB2312" w:cs="Times New Roman"/>
          <w:color w:val="auto"/>
          <w:sz w:val="30"/>
          <w:szCs w:val="30"/>
        </w:rPr>
        <w:t>的通知》（汇发〔2019〕13号）的相关要求。审核交易电子信息的银行应符合《国家外汇管理局关于支持贸易新业态发展的通知》（汇发〔2020〕11号）的相关要求。</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二）变更条件。支付机构变更公司名称、实际控制人或法定代表人等公司基本信息，应于变更后30日内向注册地分局报备；变更业务范围或业务子项、合作银行、业务流程、风控方案、单笔交易金额限额、交易信息采集及验证方案及公司外汇业务负责人，应向注册地分局提出登记变更申请，并提供相关说明材料。审核交易电子信息的银行变更业务范围或业务子项、业务流程、风控方案、交易信息采集及验证方案，应向注册地分支局提出登记变更申请，并提供相关说明材料。</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三）注销条件。支付机构1.被行业主管部门终止支付业务；2.支付机构主动终止外汇业务，发生下列情况之一应在5个工作日内向注册地分局提出注销登记申请及终止外汇业务方案。业务处置完毕后，外汇局注销其登记。审核交易电子信息的银行，主动终止外汇业务，应在作出决定之日起5个工作日内向注册地分局提出注销登记申请及终止外汇业务方案。业务处置完毕后，外汇局注销其登记。禁止性要求：申请材料不齐全，不符合法规规定。</w:t>
      </w:r>
    </w:p>
    <w:p>
      <w:pPr>
        <w:adjustRightInd w:val="0"/>
        <w:snapToGrid w:val="0"/>
        <w:spacing w:line="360" w:lineRule="auto"/>
        <w:ind w:firstLine="600" w:firstLineChars="200"/>
        <w:rPr>
          <w:rFonts w:ascii="Times New Roman" w:hAnsi="Times New Roman" w:eastAsia="仿宋_GB2312" w:cs="Times New Roman"/>
          <w:color w:val="auto"/>
          <w:sz w:val="30"/>
          <w:szCs w:val="30"/>
        </w:rPr>
      </w:pPr>
      <w:r>
        <w:rPr>
          <w:rFonts w:ascii="Times New Roman" w:hAnsi="Times New Roman" w:eastAsia="黑体" w:cs="Times New Roman"/>
          <w:color w:val="auto"/>
          <w:sz w:val="30"/>
          <w:szCs w:val="30"/>
        </w:rPr>
        <w:t>九、申请材料</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w:t>
      </w:r>
      <w:r>
        <w:rPr>
          <w:rFonts w:ascii="Times New Roman" w:hAnsi="Times New Roman" w:eastAsia="仿宋_GB2312" w:cs="Times New Roman"/>
          <w:color w:val="auto"/>
          <w:kern w:val="0"/>
          <w:sz w:val="28"/>
          <w:szCs w:val="28"/>
        </w:rPr>
        <w:t>进口单位名录登记</w:t>
      </w:r>
      <w:r>
        <w:rPr>
          <w:rFonts w:ascii="Times New Roman" w:hAnsi="Times New Roman" w:eastAsia="仿宋_GB2312" w:cs="Times New Roman"/>
          <w:color w:val="auto"/>
          <w:sz w:val="30"/>
          <w:szCs w:val="30"/>
        </w:rPr>
        <w:t>申请材料清单</w:t>
      </w:r>
    </w:p>
    <w:tbl>
      <w:tblPr>
        <w:tblStyle w:val="9"/>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7"/>
        <w:gridCol w:w="1778"/>
        <w:gridCol w:w="1417"/>
        <w:gridCol w:w="567"/>
        <w:gridCol w:w="851"/>
        <w:gridCol w:w="2126"/>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序号</w:t>
            </w:r>
          </w:p>
        </w:tc>
        <w:tc>
          <w:tcPr>
            <w:tcW w:w="1778"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141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56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份数</w:t>
            </w:r>
          </w:p>
        </w:tc>
        <w:tc>
          <w:tcPr>
            <w:tcW w:w="85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2126"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141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77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《贸易外汇收支企业名录登记申请表》</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126"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法定代表人签字并加盖公章。</w:t>
            </w:r>
          </w:p>
        </w:tc>
        <w:tc>
          <w:tcPr>
            <w:tcW w:w="1417" w:type="dxa"/>
            <w:vMerge w:val="restart"/>
            <w:vAlign w:val="center"/>
          </w:tcPr>
          <w:p>
            <w:pPr>
              <w:jc w:val="left"/>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1778"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营业执照</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纸质/电子</w:t>
            </w:r>
          </w:p>
        </w:tc>
        <w:tc>
          <w:tcPr>
            <w:tcW w:w="2126" w:type="dxa"/>
            <w:vAlign w:val="center"/>
          </w:tcPr>
          <w:p>
            <w:pPr>
              <w:keepNext/>
              <w:keepLines/>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原则上为营业执照副本</w:t>
            </w:r>
          </w:p>
        </w:tc>
        <w:tc>
          <w:tcPr>
            <w:tcW w:w="1417" w:type="dxa"/>
            <w:vMerge w:val="continue"/>
            <w:vAlign w:val="top"/>
          </w:tcPr>
          <w:p>
            <w:pPr>
              <w:keepNext/>
              <w:keepLines/>
              <w:spacing w:before="340" w:after="330" w:line="578" w:lineRule="auto"/>
              <w:rPr>
                <w:rFonts w:ascii="Times New Roman" w:hAnsi="Times New Roman" w:eastAsia="仿宋_GB2312" w:cs="Times New Roman"/>
                <w:color w:val="auto"/>
                <w:sz w:val="24"/>
                <w:szCs w:val="24"/>
              </w:rPr>
            </w:pPr>
          </w:p>
        </w:tc>
      </w:tr>
    </w:tbl>
    <w:p>
      <w:pPr>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（二）支付机构及审核交易电子信息的银行名录登记新办申请材料清单</w:t>
      </w:r>
    </w:p>
    <w:tbl>
      <w:tblPr>
        <w:tblStyle w:val="9"/>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6"/>
        <w:gridCol w:w="1539"/>
        <w:gridCol w:w="1417"/>
        <w:gridCol w:w="567"/>
        <w:gridCol w:w="851"/>
        <w:gridCol w:w="2126"/>
        <w:gridCol w:w="14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序号</w:t>
            </w:r>
          </w:p>
        </w:tc>
        <w:tc>
          <w:tcPr>
            <w:tcW w:w="1539"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141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56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份数</w:t>
            </w:r>
          </w:p>
        </w:tc>
        <w:tc>
          <w:tcPr>
            <w:tcW w:w="85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2126"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141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539"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《贸易外汇收支企业名录登记申请表》</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纸质 </w:t>
            </w:r>
          </w:p>
        </w:tc>
        <w:tc>
          <w:tcPr>
            <w:tcW w:w="2126" w:type="dxa"/>
            <w:vAlign w:val="center"/>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法定代表人签字并加盖公章。</w:t>
            </w:r>
          </w:p>
        </w:tc>
        <w:tc>
          <w:tcPr>
            <w:tcW w:w="1417" w:type="dxa"/>
            <w:vMerge w:val="restart"/>
            <w:vAlign w:val="center"/>
          </w:tcPr>
          <w:p>
            <w:pPr>
              <w:keepNext/>
              <w:keepLines/>
              <w:spacing w:before="260" w:after="260" w:line="416" w:lineRule="auto"/>
              <w:jc w:val="left"/>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1539"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营业执照</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原件和复印件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纸质 </w:t>
            </w:r>
          </w:p>
        </w:tc>
        <w:tc>
          <w:tcPr>
            <w:tcW w:w="2126" w:type="dxa"/>
            <w:vAlign w:val="center"/>
          </w:tcPr>
          <w:p>
            <w:pPr>
              <w:keepNext/>
              <w:keepLines/>
              <w:spacing w:before="340" w:after="330" w:line="578" w:lineRule="auto"/>
              <w:rPr>
                <w:rFonts w:ascii="Times New Roman" w:hAnsi="Times New Roman" w:eastAsia="仿宋_GB2312" w:cs="Times New Roman"/>
                <w:color w:val="auto"/>
                <w:sz w:val="24"/>
                <w:szCs w:val="24"/>
              </w:rPr>
            </w:pPr>
          </w:p>
        </w:tc>
        <w:tc>
          <w:tcPr>
            <w:tcW w:w="1417" w:type="dxa"/>
            <w:vMerge w:val="continue"/>
            <w:vAlign w:val="top"/>
          </w:tcPr>
          <w:p>
            <w:pPr>
              <w:keepNext/>
              <w:keepLines/>
              <w:spacing w:before="340" w:after="330" w:line="578"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3</w:t>
            </w:r>
          </w:p>
        </w:tc>
        <w:tc>
          <w:tcPr>
            <w:tcW w:w="1539"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书面申请</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w:t>
            </w:r>
          </w:p>
        </w:tc>
        <w:tc>
          <w:tcPr>
            <w:tcW w:w="2126"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包括但不限于公司基本情况（如治理结构、机构设置等）、合作银行情况、申请外汇业务范围及可行性研究报告、与主要客户的合作意向协议、业务流程、数据采集及真实性审核方案、抽查机制、风控制度模型及系统情况等。</w:t>
            </w:r>
          </w:p>
        </w:tc>
        <w:tc>
          <w:tcPr>
            <w:tcW w:w="1417" w:type="dxa"/>
            <w:vMerge w:val="restart"/>
            <w:vAlign w:val="center"/>
          </w:tcPr>
          <w:p>
            <w:pPr>
              <w:keepNext/>
              <w:keepLines/>
              <w:spacing w:before="260" w:after="260" w:line="416" w:lineRule="auto"/>
              <w:jc w:val="left"/>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4</w:t>
            </w:r>
          </w:p>
        </w:tc>
        <w:tc>
          <w:tcPr>
            <w:tcW w:w="1539"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行业主管部门颁发的开展支付业务资质证明文件</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原件及加盖企业公章的复印件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w:t>
            </w:r>
          </w:p>
        </w:tc>
        <w:tc>
          <w:tcPr>
            <w:tcW w:w="2126"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银行提供结售汇业务资格证明文件。</w:t>
            </w:r>
          </w:p>
        </w:tc>
        <w:tc>
          <w:tcPr>
            <w:tcW w:w="1417"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5</w:t>
            </w:r>
          </w:p>
        </w:tc>
        <w:tc>
          <w:tcPr>
            <w:tcW w:w="1539"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承诺函</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w:t>
            </w:r>
          </w:p>
        </w:tc>
        <w:tc>
          <w:tcPr>
            <w:tcW w:w="2126"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包括但不限于承诺申请材料真实可信、按时履行报告义务、积极配合外汇局监督管理等。</w:t>
            </w:r>
          </w:p>
        </w:tc>
        <w:tc>
          <w:tcPr>
            <w:tcW w:w="1417" w:type="dxa"/>
            <w:vMerge w:val="continue"/>
            <w:vAlign w:val="top"/>
          </w:tcPr>
          <w:p>
            <w:pPr>
              <w:keepNext/>
              <w:keepLines/>
              <w:spacing w:before="340" w:after="330" w:line="578"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6</w:t>
            </w:r>
          </w:p>
        </w:tc>
        <w:tc>
          <w:tcPr>
            <w:tcW w:w="1539"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与银行的合作协议（包括但不限于双方责任与义务，汇率报价规则，服务费收取方式，利息计算方式与归属，纠纷处理流程，合作银行对支付机构外汇业务合规审核能力、风险管理能力以及相关技术条件的评估认可情况等）</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w:t>
            </w:r>
          </w:p>
        </w:tc>
        <w:tc>
          <w:tcPr>
            <w:tcW w:w="2126"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银行办理名录时，可不提供合作协议。</w:t>
            </w:r>
          </w:p>
        </w:tc>
        <w:tc>
          <w:tcPr>
            <w:tcW w:w="1417" w:type="dxa"/>
            <w:vMerge w:val="continue"/>
            <w:vAlign w:val="top"/>
          </w:tcPr>
          <w:p>
            <w:pPr>
              <w:keepNext/>
              <w:keepLines/>
              <w:spacing w:before="260" w:after="260" w:line="416" w:lineRule="auto"/>
              <w:rPr>
                <w:rFonts w:ascii="Times New Roman" w:hAnsi="Times New Roman" w:eastAsia="仿宋_GB2312" w:cs="Times New Roman"/>
                <w:color w:val="auto"/>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7</w:t>
            </w:r>
          </w:p>
        </w:tc>
        <w:tc>
          <w:tcPr>
            <w:tcW w:w="1539"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外汇业务人员履历及其外汇业务能力核实情况</w:t>
            </w:r>
          </w:p>
        </w:tc>
        <w:tc>
          <w:tcPr>
            <w:tcW w:w="141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原件及加盖企业公章的复印件</w:t>
            </w:r>
          </w:p>
        </w:tc>
        <w:tc>
          <w:tcPr>
            <w:tcW w:w="56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85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w:t>
            </w:r>
          </w:p>
        </w:tc>
        <w:tc>
          <w:tcPr>
            <w:tcW w:w="2126" w:type="dxa"/>
            <w:vAlign w:val="top"/>
          </w:tcPr>
          <w:p>
            <w:pPr>
              <w:keepNext/>
              <w:keepLines/>
              <w:spacing w:before="340" w:after="330" w:line="578" w:lineRule="auto"/>
              <w:rPr>
                <w:rFonts w:ascii="Times New Roman" w:hAnsi="Times New Roman" w:eastAsia="仿宋_GB2312" w:cs="Times New Roman"/>
                <w:color w:val="auto"/>
                <w:sz w:val="24"/>
                <w:szCs w:val="24"/>
              </w:rPr>
            </w:pPr>
          </w:p>
        </w:tc>
        <w:tc>
          <w:tcPr>
            <w:tcW w:w="1417" w:type="dxa"/>
            <w:vAlign w:val="top"/>
          </w:tcPr>
          <w:p>
            <w:pP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 xml:space="preserve"> </w:t>
            </w:r>
          </w:p>
        </w:tc>
      </w:tr>
    </w:tbl>
    <w:p>
      <w:pPr>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（三）支付机构及审核交易电子信息的银行</w:t>
      </w:r>
      <w:r>
        <w:rPr>
          <w:rFonts w:ascii="Times New Roman" w:hAnsi="Times New Roman" w:eastAsia="仿宋_GB2312" w:cs="Times New Roman"/>
          <w:color w:val="auto"/>
          <w:kern w:val="0"/>
          <w:sz w:val="28"/>
          <w:szCs w:val="28"/>
        </w:rPr>
        <w:t>名录登记</w:t>
      </w:r>
      <w:r>
        <w:rPr>
          <w:rFonts w:ascii="Times New Roman" w:hAnsi="Times New Roman" w:eastAsia="仿宋_GB2312" w:cs="Times New Roman"/>
          <w:color w:val="auto"/>
          <w:sz w:val="30"/>
          <w:szCs w:val="30"/>
        </w:rPr>
        <w:t>变更材料清单</w:t>
      </w:r>
    </w:p>
    <w:tbl>
      <w:tblPr>
        <w:tblStyle w:val="8"/>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9"/>
        <w:gridCol w:w="1776"/>
        <w:gridCol w:w="1417"/>
        <w:gridCol w:w="567"/>
        <w:gridCol w:w="851"/>
        <w:gridCol w:w="1842"/>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9"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序号</w:t>
            </w:r>
          </w:p>
        </w:tc>
        <w:tc>
          <w:tcPr>
            <w:tcW w:w="1776"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141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56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份数</w:t>
            </w:r>
          </w:p>
        </w:tc>
        <w:tc>
          <w:tcPr>
            <w:tcW w:w="85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1842"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170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9"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1</w:t>
            </w:r>
          </w:p>
        </w:tc>
        <w:tc>
          <w:tcPr>
            <w:tcW w:w="1776"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color w:val="auto"/>
                <w:sz w:val="24"/>
                <w:szCs w:val="24"/>
              </w:rPr>
              <w:t>相应变更文件或证明</w:t>
            </w:r>
          </w:p>
        </w:tc>
        <w:tc>
          <w:tcPr>
            <w:tcW w:w="141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color w:val="auto"/>
                <w:sz w:val="24"/>
                <w:szCs w:val="24"/>
              </w:rPr>
              <w:t>原件及加盖企业公章的复印件</w:t>
            </w:r>
          </w:p>
        </w:tc>
        <w:tc>
          <w:tcPr>
            <w:tcW w:w="56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1</w:t>
            </w:r>
          </w:p>
        </w:tc>
        <w:tc>
          <w:tcPr>
            <w:tcW w:w="85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color w:val="auto"/>
                <w:sz w:val="24"/>
                <w:szCs w:val="24"/>
              </w:rPr>
              <w:t>纸质</w:t>
            </w:r>
          </w:p>
        </w:tc>
        <w:tc>
          <w:tcPr>
            <w:tcW w:w="1842" w:type="dxa"/>
            <w:vAlign w:val="center"/>
          </w:tcPr>
          <w:p>
            <w:pPr>
              <w:jc w:val="left"/>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相应变更文件或证明”应可证明业务范围或业务子项、合作银行、业务流程、风控模型、单笔交易金额限额（特定交易限额变更理由及相应风险控制措施）、交易数据采集及验证方案、公司外汇业务负责人等发生变更。</w:t>
            </w:r>
          </w:p>
        </w:tc>
        <w:tc>
          <w:tcPr>
            <w:tcW w:w="1701" w:type="dxa"/>
            <w:vAlign w:val="center"/>
          </w:tcPr>
          <w:p>
            <w:pPr>
              <w:jc w:val="center"/>
              <w:rPr>
                <w:rFonts w:ascii="Times New Roman" w:hAnsi="Times New Roman" w:eastAsia="仿宋_GB2312" w:cs="Times New Roman"/>
                <w:b/>
                <w:color w:val="auto"/>
                <w:sz w:val="24"/>
                <w:szCs w:val="24"/>
              </w:rPr>
            </w:pPr>
          </w:p>
        </w:tc>
      </w:tr>
    </w:tbl>
    <w:p>
      <w:pPr>
        <w:adjustRightInd w:val="0"/>
        <w:snapToGrid w:val="0"/>
        <w:spacing w:line="360" w:lineRule="auto"/>
        <w:rPr>
          <w:rFonts w:ascii="Times New Roman" w:hAnsi="Times New Roman" w:eastAsia="仿宋_GB2312" w:cs="Times New Roman"/>
          <w:color w:val="auto"/>
          <w:sz w:val="30"/>
          <w:szCs w:val="30"/>
        </w:rPr>
      </w:pPr>
    </w:p>
    <w:p>
      <w:pPr>
        <w:adjustRightInd w:val="0"/>
        <w:snapToGrid w:val="0"/>
        <w:spacing w:line="360" w:lineRule="auto"/>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（四）支付机构及审核交易电子信息的银行名录注销申请材料清单</w:t>
      </w:r>
    </w:p>
    <w:tbl>
      <w:tblPr>
        <w:tblStyle w:val="9"/>
        <w:tblW w:w="86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7"/>
        <w:gridCol w:w="1041"/>
        <w:gridCol w:w="1343"/>
        <w:gridCol w:w="591"/>
        <w:gridCol w:w="1103"/>
        <w:gridCol w:w="3382"/>
        <w:gridCol w:w="6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序号</w:t>
            </w:r>
          </w:p>
        </w:tc>
        <w:tc>
          <w:tcPr>
            <w:tcW w:w="104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提交材料名称</w:t>
            </w:r>
          </w:p>
        </w:tc>
        <w:tc>
          <w:tcPr>
            <w:tcW w:w="1343"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原件/</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复印件</w:t>
            </w:r>
          </w:p>
        </w:tc>
        <w:tc>
          <w:tcPr>
            <w:tcW w:w="591"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份数</w:t>
            </w:r>
          </w:p>
        </w:tc>
        <w:tc>
          <w:tcPr>
            <w:tcW w:w="1103"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纸质/</w:t>
            </w:r>
          </w:p>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电子</w:t>
            </w:r>
          </w:p>
        </w:tc>
        <w:tc>
          <w:tcPr>
            <w:tcW w:w="3382"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要求</w:t>
            </w:r>
          </w:p>
        </w:tc>
        <w:tc>
          <w:tcPr>
            <w:tcW w:w="696" w:type="dxa"/>
            <w:vAlign w:val="center"/>
          </w:tcPr>
          <w:p>
            <w:pPr>
              <w:jc w:val="center"/>
              <w:rPr>
                <w:rFonts w:ascii="Times New Roman" w:hAnsi="Times New Roman" w:eastAsia="仿宋_GB2312" w:cs="Times New Roman"/>
                <w:b/>
                <w:color w:val="auto"/>
                <w:sz w:val="24"/>
                <w:szCs w:val="24"/>
              </w:rPr>
            </w:pPr>
            <w:r>
              <w:rPr>
                <w:rFonts w:ascii="Times New Roman" w:hAnsi="Times New Roman" w:eastAsia="仿宋_GB2312" w:cs="Times New Roman"/>
                <w:b/>
                <w:color w:val="auto"/>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04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注销登记申请</w:t>
            </w:r>
          </w:p>
        </w:tc>
        <w:tc>
          <w:tcPr>
            <w:tcW w:w="1343"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原件及加盖企业公章的复印件</w:t>
            </w:r>
          </w:p>
        </w:tc>
        <w:tc>
          <w:tcPr>
            <w:tcW w:w="59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03"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w:t>
            </w:r>
          </w:p>
        </w:tc>
        <w:tc>
          <w:tcPr>
            <w:tcW w:w="3382" w:type="dxa"/>
            <w:vAlign w:val="center"/>
          </w:tcPr>
          <w:p>
            <w:pPr>
              <w:jc w:val="left"/>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“相应注销文件或证明、说明”应包含注销理由及终止外汇业务方案；或被工商管理部门注销或吊销营业执照；或被行业主管部门终止支付业务。</w:t>
            </w:r>
          </w:p>
        </w:tc>
        <w:tc>
          <w:tcPr>
            <w:tcW w:w="696"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支付机构被行业主管部门终止支付业务，支付机构名录登记相应失效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457"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2</w:t>
            </w:r>
          </w:p>
        </w:tc>
        <w:tc>
          <w:tcPr>
            <w:tcW w:w="104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终止外汇业务方案</w:t>
            </w:r>
          </w:p>
        </w:tc>
        <w:tc>
          <w:tcPr>
            <w:tcW w:w="1343"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原件及加盖企业公章的复印件</w:t>
            </w:r>
          </w:p>
        </w:tc>
        <w:tc>
          <w:tcPr>
            <w:tcW w:w="591"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1</w:t>
            </w:r>
          </w:p>
        </w:tc>
        <w:tc>
          <w:tcPr>
            <w:tcW w:w="1103" w:type="dxa"/>
            <w:vAlign w:val="center"/>
          </w:tcPr>
          <w:p>
            <w:pPr>
              <w:jc w:val="center"/>
              <w:rPr>
                <w:rFonts w:ascii="Times New Roman" w:hAnsi="Times New Roman" w:eastAsia="仿宋_GB2312" w:cs="Times New Roman"/>
                <w:color w:val="auto"/>
                <w:sz w:val="24"/>
                <w:szCs w:val="24"/>
              </w:rPr>
            </w:pPr>
            <w:r>
              <w:rPr>
                <w:rFonts w:ascii="Times New Roman" w:hAnsi="Times New Roman" w:eastAsia="仿宋_GB2312" w:cs="Times New Roman"/>
                <w:color w:val="auto"/>
                <w:sz w:val="24"/>
                <w:szCs w:val="24"/>
              </w:rPr>
              <w:t>纸质</w:t>
            </w:r>
          </w:p>
        </w:tc>
        <w:tc>
          <w:tcPr>
            <w:tcW w:w="3382" w:type="dxa"/>
            <w:vAlign w:val="center"/>
          </w:tcPr>
          <w:p>
            <w:pPr>
              <w:keepNext/>
              <w:keepLines/>
              <w:spacing w:before="340" w:after="330" w:line="578" w:lineRule="auto"/>
              <w:jc w:val="left"/>
              <w:rPr>
                <w:rFonts w:ascii="Times New Roman" w:hAnsi="Times New Roman" w:eastAsia="仿宋_GB2312" w:cs="Times New Roman"/>
                <w:color w:val="auto"/>
                <w:sz w:val="24"/>
                <w:szCs w:val="24"/>
              </w:rPr>
            </w:pPr>
          </w:p>
        </w:tc>
        <w:tc>
          <w:tcPr>
            <w:tcW w:w="696" w:type="dxa"/>
            <w:vAlign w:val="center"/>
          </w:tcPr>
          <w:p>
            <w:pPr>
              <w:keepNext/>
              <w:keepLines/>
              <w:spacing w:before="340" w:after="330" w:line="578" w:lineRule="auto"/>
              <w:jc w:val="center"/>
              <w:rPr>
                <w:rFonts w:ascii="Times New Roman" w:hAnsi="Times New Roman" w:eastAsia="仿宋_GB2312" w:cs="Times New Roman"/>
                <w:color w:val="auto"/>
                <w:sz w:val="24"/>
                <w:szCs w:val="24"/>
              </w:rPr>
            </w:pPr>
          </w:p>
        </w:tc>
      </w:tr>
    </w:tbl>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十、申请接受</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申请人可通过国家外汇管理局分支局提交申请。</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十一、基本办理流程</w:t>
      </w:r>
    </w:p>
    <w:p>
      <w:pPr>
        <w:tabs>
          <w:tab w:val="left" w:pos="615"/>
        </w:tabs>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ab/>
      </w:r>
      <w:r>
        <w:rPr>
          <w:rFonts w:ascii="Times New Roman" w:hAnsi="Times New Roman" w:eastAsia="仿宋_GB2312" w:cs="Times New Roman"/>
          <w:color w:val="auto"/>
          <w:sz w:val="30"/>
          <w:szCs w:val="30"/>
        </w:rPr>
        <w:t>（一）申请人提交申请；</w:t>
      </w:r>
    </w:p>
    <w:p>
      <w:pPr>
        <w:ind w:firstLine="600"/>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 xml:space="preserve">（二）决定是否予以受理； </w:t>
      </w:r>
    </w:p>
    <w:p>
      <w:pPr>
        <w:ind w:firstLine="600"/>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 xml:space="preserve">（三）不属于本机构受理范围的，出具不予受理行政许可通知书； </w:t>
      </w:r>
    </w:p>
    <w:p>
      <w:pPr>
        <w:ind w:firstLine="600"/>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（四）属于本机构受理范围的，审核申请材料是否齐全或符合法定形式；材料不全或不符合法定形式的，一次性告知补正材料，并出具行政许可补正通知书；</w:t>
      </w:r>
    </w:p>
    <w:p>
      <w:pPr>
        <w:ind w:firstLine="600"/>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（五）材料齐全的，依法予以受理，并出具行政许可受理通知书；</w:t>
      </w:r>
    </w:p>
    <w:p>
      <w:pPr>
        <w:ind w:firstLine="600"/>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（六）不予许可的，做出不予许可的行政许可书面决定并说明理由；予以许可的，出具行政许可决定书。</w:t>
      </w:r>
    </w:p>
    <w:p>
      <w:pPr>
        <w:ind w:firstLine="600"/>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其中：支付机构及审核交易电子信息的银行相关业务需要现场办理，不支持政务服务网上办理平台线上办理。</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十二、办理方式</w:t>
      </w:r>
    </w:p>
    <w:p>
      <w:pPr>
        <w:ind w:firstLine="600" w:firstLineChars="2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一般程序：申请、受理、审查、决定。</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十三、审批时限</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20个工作日。</w:t>
      </w:r>
    </w:p>
    <w:p>
      <w:pPr>
        <w:ind w:firstLine="585"/>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十四、审批收费依据及标准</w:t>
      </w:r>
    </w:p>
    <w:p>
      <w:pPr>
        <w:ind w:firstLine="585"/>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不收费。</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十五、审批结果</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外汇局向申请企业出具行政许可决定书。</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十六、结果送达</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通过政务服务网上办理平台或现场告知申请企业，并通过现场领取或邮寄等方式将结果送达。通过正式书面文件告知获准登记的支付机构及审核交易电子信息的银行。</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十七、申请人权利和义务</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申请人有权依法提出行政审批申请，依法进行投诉、举报、复议、诉讼等。申请人有义务保证申请材料完整、真实、准确，获批后合法合规办理相关业务。</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十八、咨询途径、监督和投诉、公开查询等由所在地分支局办理</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1.国家外汇管理局广西壮族自治区分局</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（1）咨询途径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现场咨询：广西南宁市青秀区滨湖路58号中国人民银行南宁中心支行一楼8号柜台。</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电话咨询：0771-6111201</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网站咨询：</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（2）监督和投诉途径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电话投诉：0771-6111357</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电子邮箱投诉：gxwgwg@163.com</w:t>
      </w:r>
    </w:p>
    <w:p>
      <w:pPr>
        <w:adjustRightInd w:val="0"/>
        <w:snapToGrid w:val="0"/>
        <w:spacing w:line="360" w:lineRule="auto"/>
        <w:ind w:firstLine="601"/>
        <w:rPr>
          <w:rFonts w:hint="eastAsia" w:ascii="Times New Roman" w:hAnsi="Times New Roman" w:eastAsia="仿宋_GB2312" w:cs="Times New Roman"/>
          <w:color w:val="auto"/>
          <w:sz w:val="30"/>
          <w:szCs w:val="30"/>
          <w:lang w:eastAsia="zh-CN"/>
        </w:rPr>
      </w:pPr>
      <w:r>
        <w:rPr>
          <w:rFonts w:hint="eastAsia" w:ascii="Times New Roman" w:hAnsi="Times New Roman" w:eastAsia="仿宋_GB2312" w:cs="Times New Roman"/>
          <w:color w:val="auto"/>
          <w:sz w:val="30"/>
          <w:szCs w:val="30"/>
          <w:lang w:val="en-US" w:eastAsia="zh-CN"/>
        </w:rPr>
        <w:t>网站投诉：</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w:t>
      </w:r>
      <w:r>
        <w:rPr>
          <w:rFonts w:hint="eastAsia" w:ascii="Times New Roman" w:hAnsi="Times New Roman" w:eastAsia="仿宋_GB2312" w:cs="Times New Roman"/>
          <w:color w:val="auto"/>
          <w:sz w:val="30"/>
          <w:szCs w:val="30"/>
          <w:lang w:eastAsia="zh-CN"/>
        </w:rPr>
        <w:t>咨询反馈栏目。</w:t>
      </w:r>
    </w:p>
    <w:p>
      <w:pPr>
        <w:adjustRightInd w:val="0"/>
        <w:snapToGrid w:val="0"/>
        <w:spacing w:line="360" w:lineRule="auto"/>
        <w:ind w:firstLine="601"/>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（3）</w:t>
      </w:r>
      <w:r>
        <w:rPr>
          <w:rFonts w:hint="eastAsia" w:ascii="Times New Roman" w:hAnsi="Times New Roman" w:eastAsia="仿宋_GB2312" w:cs="Times New Roman"/>
          <w:b/>
          <w:bCs/>
          <w:color w:val="auto"/>
          <w:sz w:val="30"/>
          <w:szCs w:val="30"/>
          <w:lang w:eastAsia="zh-CN"/>
        </w:rPr>
        <w:t>公开</w:t>
      </w:r>
      <w:r>
        <w:rPr>
          <w:rFonts w:hint="eastAsia" w:ascii="Times New Roman" w:hAnsi="Times New Roman" w:eastAsia="仿宋_GB2312" w:cs="Times New Roman"/>
          <w:b/>
          <w:bCs/>
          <w:color w:val="auto"/>
          <w:sz w:val="30"/>
          <w:szCs w:val="30"/>
        </w:rPr>
        <w:t>查询</w:t>
      </w:r>
      <w:r>
        <w:rPr>
          <w:rFonts w:hint="eastAsia" w:ascii="Times New Roman" w:hAnsi="Times New Roman" w:eastAsia="仿宋_GB2312" w:cs="Times New Roman"/>
          <w:b/>
          <w:bCs/>
          <w:color w:val="auto"/>
          <w:sz w:val="30"/>
          <w:szCs w:val="30"/>
          <w:lang w:eastAsia="zh-CN"/>
        </w:rPr>
        <w:t>途径</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现场查询：广西南宁市青秀区滨湖路58号中国人民银行南宁中心支行一楼8号柜台。</w:t>
      </w:r>
    </w:p>
    <w:p>
      <w:pPr>
        <w:adjustRightInd w:val="0"/>
        <w:snapToGrid w:val="0"/>
        <w:spacing w:line="360" w:lineRule="auto"/>
        <w:ind w:firstLine="601"/>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电话查询：0771-6111201</w:t>
      </w:r>
    </w:p>
    <w:p>
      <w:pPr>
        <w:numPr>
          <w:ilvl w:val="0"/>
          <w:numId w:val="1"/>
        </w:numPr>
        <w:adjustRightInd w:val="0"/>
        <w:snapToGrid w:val="0"/>
        <w:spacing w:line="360" w:lineRule="auto"/>
        <w:ind w:firstLine="600"/>
        <w:rPr>
          <w:rFonts w:hint="eastAsia" w:ascii="Times New Roman" w:hAnsi="Times New Roman" w:eastAsia="仿宋_GB2312" w:cs="Times New Roman"/>
          <w:b/>
          <w:bCs/>
          <w:color w:val="auto"/>
          <w:sz w:val="30"/>
          <w:szCs w:val="30"/>
          <w:lang w:val="en-US" w:eastAsia="zh-CN"/>
        </w:rPr>
      </w:pPr>
      <w:r>
        <w:rPr>
          <w:rFonts w:hint="eastAsia" w:ascii="Times New Roman" w:hAnsi="Times New Roman" w:eastAsia="仿宋_GB2312" w:cs="Times New Roman"/>
          <w:b/>
          <w:bCs/>
          <w:color w:val="auto"/>
          <w:sz w:val="30"/>
          <w:szCs w:val="30"/>
          <w:lang w:val="en-US" w:eastAsia="zh-CN"/>
        </w:rPr>
        <w:t>国家外汇管理局广西区各市中心支局</w:t>
      </w:r>
    </w:p>
    <w:p>
      <w:pPr>
        <w:ind w:firstLine="6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咨询途径、监督和投诉途径、公开查询途径可通过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/guangxi/）机构设置栏目所示地址和电话进行相应查询。</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十九、事项审查类型</w:t>
      </w:r>
    </w:p>
    <w:p>
      <w:pPr>
        <w:ind w:firstLine="6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前审后批。</w:t>
      </w:r>
    </w:p>
    <w:p>
      <w:pPr>
        <w:ind w:firstLine="6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二十、办公地址和时间</w:t>
      </w:r>
    </w:p>
    <w:p>
      <w:pPr>
        <w:adjustRightInd w:val="0"/>
        <w:snapToGrid w:val="0"/>
        <w:spacing w:line="360" w:lineRule="auto"/>
        <w:ind w:firstLine="600" w:firstLineChars="200"/>
        <w:rPr>
          <w:rFonts w:hint="eastAsia" w:ascii="仿宋_GB2312" w:hAnsi="Times New Roman" w:eastAsia="仿宋_GB2312"/>
          <w:b/>
          <w:bCs/>
          <w:color w:val="auto"/>
          <w:sz w:val="30"/>
          <w:szCs w:val="30"/>
        </w:rPr>
      </w:pPr>
      <w:r>
        <w:rPr>
          <w:rFonts w:hint="eastAsia" w:ascii="仿宋_GB2312" w:hAnsi="Times New Roman" w:eastAsia="仿宋_GB2312"/>
          <w:b/>
          <w:bCs/>
          <w:color w:val="auto"/>
          <w:sz w:val="30"/>
          <w:szCs w:val="30"/>
          <w:lang w:val="en-US" w:eastAsia="zh-CN"/>
        </w:rPr>
        <w:t>1.</w:t>
      </w:r>
      <w:r>
        <w:rPr>
          <w:rFonts w:hint="eastAsia" w:ascii="仿宋_GB2312" w:hAnsi="Times New Roman" w:eastAsia="仿宋_GB2312"/>
          <w:b/>
          <w:bCs/>
          <w:color w:val="auto"/>
          <w:sz w:val="30"/>
          <w:szCs w:val="30"/>
        </w:rPr>
        <w:t>国家外汇管理局广西壮族自治区分局</w:t>
      </w:r>
    </w:p>
    <w:p>
      <w:pPr>
        <w:adjustRightInd w:val="0"/>
        <w:snapToGrid w:val="0"/>
        <w:spacing w:line="360" w:lineRule="auto"/>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val="en-US" w:eastAsia="zh-CN"/>
        </w:rPr>
        <w:t xml:space="preserve">    办公</w:t>
      </w:r>
      <w:r>
        <w:rPr>
          <w:rFonts w:hint="eastAsia" w:ascii="仿宋_GB2312" w:hAnsi="Times New Roman" w:eastAsia="仿宋_GB2312"/>
          <w:color w:val="auto"/>
          <w:sz w:val="30"/>
          <w:szCs w:val="30"/>
        </w:rPr>
        <w:t>地址：广西南宁市青秀区滨湖路58号中国人民银行南宁中心支行</w:t>
      </w:r>
      <w:r>
        <w:rPr>
          <w:rFonts w:hint="eastAsia" w:ascii="Times New Roman" w:hAnsi="Times New Roman" w:eastAsia="仿宋_GB2312" w:cs="Times New Roman"/>
          <w:color w:val="auto"/>
          <w:sz w:val="30"/>
          <w:szCs w:val="30"/>
          <w:lang w:val="en-US" w:eastAsia="zh-CN"/>
        </w:rPr>
        <w:t>一楼8号柜台。</w:t>
      </w:r>
    </w:p>
    <w:p>
      <w:pPr>
        <w:adjustRightInd w:val="0"/>
        <w:snapToGrid w:val="0"/>
        <w:spacing w:line="360" w:lineRule="auto"/>
        <w:ind w:firstLine="600" w:firstLineChars="200"/>
        <w:rPr>
          <w:rFonts w:hint="eastAsia" w:ascii="仿宋_GB2312" w:hAnsi="Times New Roman" w:eastAsia="仿宋_GB2312"/>
          <w:color w:val="auto"/>
          <w:sz w:val="30"/>
          <w:szCs w:val="30"/>
        </w:rPr>
      </w:pPr>
      <w:r>
        <w:rPr>
          <w:rFonts w:hint="eastAsia" w:ascii="仿宋_GB2312" w:hAnsi="Times New Roman" w:eastAsia="仿宋_GB2312"/>
          <w:color w:val="auto"/>
          <w:sz w:val="30"/>
          <w:szCs w:val="30"/>
          <w:lang w:eastAsia="zh-CN"/>
        </w:rPr>
        <w:t>办公</w:t>
      </w:r>
      <w:r>
        <w:rPr>
          <w:rFonts w:hint="eastAsia" w:ascii="仿宋_GB2312" w:hAnsi="Times New Roman" w:eastAsia="仿宋_GB2312"/>
          <w:color w:val="auto"/>
          <w:sz w:val="30"/>
          <w:szCs w:val="30"/>
        </w:rPr>
        <w:t>时间：工作日，上午：08:30-12:00，下午：</w:t>
      </w:r>
      <w:r>
        <w:rPr>
          <w:rFonts w:hint="eastAsia" w:ascii="仿宋_GB2312" w:hAnsi="Times New Roman" w:eastAsia="仿宋_GB2312"/>
          <w:color w:val="auto"/>
          <w:sz w:val="30"/>
          <w:szCs w:val="30"/>
          <w:lang w:val="en-US" w:eastAsia="zh-CN"/>
        </w:rPr>
        <w:t>14</w:t>
      </w:r>
      <w:r>
        <w:rPr>
          <w:rFonts w:hint="eastAsia" w:ascii="仿宋_GB2312" w:hAnsi="Times New Roman" w:eastAsia="仿宋_GB2312"/>
          <w:color w:val="auto"/>
          <w:sz w:val="30"/>
          <w:szCs w:val="30"/>
        </w:rPr>
        <w:t>:30-</w:t>
      </w:r>
      <w:r>
        <w:rPr>
          <w:rFonts w:hint="eastAsia" w:ascii="仿宋_GB2312" w:hAnsi="Times New Roman" w:eastAsia="仿宋_GB2312"/>
          <w:color w:val="auto"/>
          <w:sz w:val="30"/>
          <w:szCs w:val="30"/>
          <w:lang w:val="en-US" w:eastAsia="zh-CN"/>
        </w:rPr>
        <w:t>17</w:t>
      </w:r>
      <w:r>
        <w:rPr>
          <w:rFonts w:hint="eastAsia" w:ascii="仿宋_GB2312" w:hAnsi="Times New Roman" w:eastAsia="仿宋_GB2312"/>
          <w:color w:val="auto"/>
          <w:sz w:val="30"/>
          <w:szCs w:val="30"/>
        </w:rPr>
        <w:t xml:space="preserve">:30。 </w:t>
      </w:r>
    </w:p>
    <w:p>
      <w:pPr>
        <w:numPr>
          <w:numId w:val="0"/>
        </w:numPr>
        <w:adjustRightInd w:val="0"/>
        <w:snapToGrid w:val="0"/>
        <w:spacing w:line="360" w:lineRule="auto"/>
        <w:rPr>
          <w:rFonts w:hint="eastAsia" w:ascii="Times New Roman" w:hAnsi="Times New Roman" w:eastAsia="仿宋_GB2312" w:cs="Times New Roman"/>
          <w:b/>
          <w:bCs/>
          <w:color w:val="auto"/>
          <w:sz w:val="30"/>
          <w:szCs w:val="30"/>
          <w:lang w:val="en-US" w:eastAsia="zh-CN"/>
        </w:rPr>
      </w:pPr>
      <w:r>
        <w:rPr>
          <w:rFonts w:hint="eastAsia" w:ascii="仿宋_GB2312" w:hAnsi="Times New Roman" w:eastAsia="仿宋_GB2312"/>
          <w:color w:val="auto"/>
          <w:sz w:val="30"/>
          <w:szCs w:val="30"/>
          <w:lang w:val="en-US" w:eastAsia="zh-CN"/>
        </w:rPr>
        <w:t xml:space="preserve">    </w:t>
      </w:r>
      <w:r>
        <w:rPr>
          <w:rFonts w:hint="eastAsia" w:ascii="仿宋_GB2312" w:hAnsi="Times New Roman" w:eastAsia="仿宋_GB2312"/>
          <w:b/>
          <w:bCs/>
          <w:color w:val="auto"/>
          <w:sz w:val="30"/>
          <w:szCs w:val="30"/>
          <w:lang w:val="en-US" w:eastAsia="zh-CN"/>
        </w:rPr>
        <w:t>2.</w:t>
      </w:r>
      <w:r>
        <w:rPr>
          <w:rFonts w:hint="eastAsia" w:ascii="Times New Roman" w:hAnsi="Times New Roman" w:eastAsia="仿宋_GB2312" w:cs="Times New Roman"/>
          <w:b/>
          <w:bCs/>
          <w:color w:val="auto"/>
          <w:sz w:val="30"/>
          <w:szCs w:val="30"/>
          <w:lang w:val="en-US" w:eastAsia="zh-CN"/>
        </w:rPr>
        <w:t>国家外汇管理局广西区各市中心支局</w:t>
      </w:r>
    </w:p>
    <w:p>
      <w:pPr>
        <w:adjustRightInd w:val="0"/>
        <w:snapToGrid w:val="0"/>
        <w:spacing w:line="360" w:lineRule="auto"/>
        <w:ind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办公地址：通过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/guangxi/）机构设置栏目进行查询。</w:t>
      </w:r>
    </w:p>
    <w:p>
      <w:pPr>
        <w:ind w:firstLine="600" w:firstLineChars="200"/>
        <w:rPr>
          <w:rFonts w:hint="eastAsia" w:ascii="Times New Roman" w:hAnsi="Times New Roman" w:eastAsia="仿宋_GB2312" w:cs="Times New Roman"/>
          <w:color w:val="auto"/>
          <w:sz w:val="30"/>
          <w:szCs w:val="30"/>
          <w:lang w:val="en-US" w:eastAsia="zh-CN"/>
        </w:rPr>
      </w:pPr>
      <w:r>
        <w:rPr>
          <w:rFonts w:hint="eastAsia" w:ascii="Times New Roman" w:hAnsi="Times New Roman" w:eastAsia="仿宋_GB2312" w:cs="Times New Roman"/>
          <w:color w:val="auto"/>
          <w:sz w:val="30"/>
          <w:szCs w:val="30"/>
          <w:lang w:val="en-US" w:eastAsia="zh-CN"/>
        </w:rPr>
        <w:t>办公时间：可通过</w:t>
      </w:r>
      <w:r>
        <w:rPr>
          <w:rFonts w:hint="eastAsia" w:ascii="Times New Roman" w:hAnsi="Times New Roman" w:eastAsia="仿宋_GB2312" w:cs="Times New Roman"/>
          <w:color w:val="auto"/>
          <w:sz w:val="30"/>
          <w:szCs w:val="30"/>
          <w:lang w:eastAsia="zh-CN"/>
        </w:rPr>
        <w:t>国家外汇管理局广西壮族自治区分局官方网站（www.safe.gov.cn</w:t>
      </w:r>
      <w:r>
        <w:rPr>
          <w:rFonts w:hint="eastAsia" w:ascii="Times New Roman" w:hAnsi="Times New Roman" w:eastAsia="仿宋_GB2312" w:cs="Times New Roman"/>
          <w:color w:val="auto"/>
          <w:sz w:val="30"/>
          <w:szCs w:val="30"/>
          <w:lang w:val="en-US" w:eastAsia="zh-CN"/>
        </w:rPr>
        <w:t>/guangxi/）机构设置栏目所示电话进行咨询。</w:t>
      </w:r>
    </w:p>
    <w:p>
      <w:pPr>
        <w:ind w:firstLine="600" w:firstLineChars="200"/>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二十一、常见问题解答及错误示例</w:t>
      </w:r>
    </w:p>
    <w:p>
      <w:pPr>
        <w:ind w:firstLine="600" w:firstLineChars="200"/>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1.企业办理名录登记是否需同时完成“出口单位名录登记”及“进口单位名录登记”两项申请？</w:t>
      </w:r>
    </w:p>
    <w:p>
      <w:pPr>
        <w:widowControl/>
        <w:spacing w:line="384" w:lineRule="auto"/>
        <w:ind w:firstLine="600" w:firstLineChars="200"/>
        <w:jc w:val="left"/>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企业办理名录登记时，完成“出口单位名录登记”和“进口单位名录登记”两项中任一项即可成为名录企业，无需重复办理。</w:t>
      </w:r>
    </w:p>
    <w:p>
      <w:pPr>
        <w:widowControl/>
        <w:spacing w:line="384" w:lineRule="auto"/>
        <w:ind w:firstLine="600" w:firstLineChars="200"/>
        <w:jc w:val="left"/>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sz w:val="30"/>
          <w:szCs w:val="30"/>
        </w:rPr>
        <w:t>2</w:t>
      </w:r>
      <w:r>
        <w:rPr>
          <w:rFonts w:ascii="Times New Roman" w:hAnsi="Times New Roman" w:eastAsia="仿宋_GB2312" w:cs="Times New Roman"/>
          <w:color w:val="auto"/>
          <w:kern w:val="0"/>
          <w:sz w:val="30"/>
          <w:szCs w:val="30"/>
        </w:rPr>
        <w:t>.错误示例</w:t>
      </w:r>
    </w:p>
    <w:p>
      <w:pPr>
        <w:widowControl/>
        <w:spacing w:line="384" w:lineRule="auto"/>
        <w:ind w:firstLine="600" w:firstLineChars="200"/>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企业在填写《贸易外汇收支企业名录登记申请表》时，应注意“经济类型”填写有限责任公司等内容，“行业类型”填写批发业、建筑业等内容，不要误将行业类型的内容填入经济类型的栏目。</w:t>
      </w:r>
    </w:p>
    <w:p>
      <w:pPr>
        <w:widowControl/>
        <w:spacing w:line="384" w:lineRule="auto"/>
        <w:rPr>
          <w:rFonts w:ascii="Times New Roman" w:hAnsi="Times New Roman" w:eastAsia="仿宋_GB2312" w:cs="Times New Roman"/>
          <w:color w:val="auto"/>
          <w:kern w:val="0"/>
          <w:sz w:val="30"/>
          <w:szCs w:val="30"/>
        </w:rPr>
      </w:pPr>
    </w:p>
    <w:p>
      <w:pPr>
        <w:widowControl/>
        <w:jc w:val="left"/>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br w:type="page"/>
      </w:r>
    </w:p>
    <w:p>
      <w:pPr>
        <w:ind w:right="300"/>
        <w:rPr>
          <w:rFonts w:ascii="Times New Roman" w:hAnsi="Times New Roman" w:eastAsia="仿宋_GB2312" w:cs="Times New Roman"/>
          <w:color w:val="auto"/>
          <w:sz w:val="30"/>
          <w:szCs w:val="30"/>
        </w:rPr>
      </w:pPr>
      <w:r>
        <w:rPr>
          <w:rFonts w:ascii="Times New Roman" w:hAnsi="Times New Roman" w:eastAsia="仿宋_GB2312" w:cs="Times New Roman"/>
          <w:color w:val="auto"/>
          <w:sz w:val="30"/>
          <w:szCs w:val="30"/>
        </w:rPr>
        <w:t>附录一</w:t>
      </w:r>
    </w:p>
    <w:p>
      <w:pPr>
        <w:ind w:right="300"/>
        <w:jc w:val="center"/>
        <w:rPr>
          <w:rFonts w:ascii="Times New Roman" w:hAnsi="Times New Roman" w:eastAsia="黑体" w:cs="Times New Roman"/>
          <w:color w:val="auto"/>
          <w:sz w:val="30"/>
          <w:szCs w:val="30"/>
        </w:rPr>
      </w:pPr>
      <w:r>
        <w:rPr>
          <w:rFonts w:ascii="Times New Roman" w:hAnsi="Times New Roman" w:eastAsia="黑体" w:cs="Times New Roman"/>
          <w:color w:val="auto"/>
          <w:sz w:val="30"/>
          <w:szCs w:val="30"/>
        </w:rPr>
        <w:t>基本流程图</w:t>
      </w:r>
    </w:p>
    <w:p>
      <w:pPr>
        <w:ind w:right="300"/>
        <w:jc w:val="center"/>
        <w:rPr>
          <w:rFonts w:ascii="Times New Roman" w:hAnsi="Times New Roman" w:eastAsia="黑体" w:cs="Times New Roman"/>
          <w:color w:val="auto"/>
          <w:sz w:val="30"/>
          <w:szCs w:val="30"/>
        </w:rPr>
      </w:pPr>
      <w:r>
        <w:rPr>
          <w:rFonts w:ascii="Times New Roman" w:hAnsi="Times New Roman" w:eastAsia="仿宋_GB2312" w:cs="Times New Roman"/>
          <w:color w:val="auto"/>
          <w:kern w:val="2"/>
          <w:sz w:val="30"/>
          <w:szCs w:val="30"/>
          <w:lang w:val="en-US" w:eastAsia="zh-CN" w:bidi="ar-SA"/>
        </w:rPr>
        <w:pict>
          <v:shape id="Flowchart: Terminator 79" o:spid="_x0000_s1026" type="#_x0000_t116" style="position:absolute;left:0;margin-left:0.15pt;margin-top:28.75pt;height:71.5pt;width:86.2pt;rotation:0f;z-index:251658240;"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申请人提出申请，并提交材料</w:t>
                  </w:r>
                </w:p>
              </w:txbxContent>
            </v:textbox>
          </v:shape>
        </w:pict>
      </w: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p>
    <w:p>
      <w:pPr>
        <w:ind w:right="300"/>
        <w:jc w:val="center"/>
        <w:rPr>
          <w:rFonts w:ascii="Times New Roman" w:hAnsi="Times New Roman" w:eastAsia="仿宋_GB2312" w:cs="Times New Roman"/>
          <w:color w:val="auto"/>
          <w:sz w:val="30"/>
          <w:szCs w:val="30"/>
        </w:rPr>
      </w:pPr>
      <w:r>
        <w:rPr>
          <w:rFonts w:ascii="Times New Roman" w:hAnsi="Times New Roman" w:eastAsia="仿宋_GB2312" w:cs="Times New Roman"/>
          <w:color w:val="auto"/>
          <w:kern w:val="2"/>
          <w:sz w:val="30"/>
          <w:szCs w:val="30"/>
          <w:lang w:val="en-US" w:eastAsia="zh-CN" w:bidi="ar-SA"/>
        </w:rPr>
        <w:pict>
          <v:shape id="Straight Connector 87" o:spid="_x0000_s1027" type="#_x0000_t32" style="position:absolute;left:0;margin-left:41.45pt;margin-top:6.65pt;height:57.95pt;width:0.05pt;rotation:0f;z-index:251659264;"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Straight Connector 91" o:spid="_x0000_s1028" type="#_x0000_t32" style="position:absolute;left:0;flip:x;margin-left:41.45pt;margin-top:21.05pt;height:0.05pt;width:232.15pt;rotation:0f;z-index:251660288;"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rect id="Rectangle 80" o:spid="_x0000_s1029" style="position:absolute;left:0;margin-left:273.6pt;margin-top:1.6pt;height:33.7pt;width:146.45pt;rotation:0f;z-index:251661312;"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rPr>
                    <w:t>申请人补全材料</w:t>
                  </w:r>
                </w:p>
              </w:txbxContent>
            </v:textbox>
          </v:rect>
        </w:pict>
      </w:r>
    </w:p>
    <w:p>
      <w:pPr>
        <w:ind w:right="300"/>
        <w:jc w:val="left"/>
        <w:rPr>
          <w:rFonts w:ascii="Times New Roman" w:hAnsi="Times New Roman" w:eastAsia="仿宋_GB2312" w:cs="Times New Roman"/>
          <w:color w:val="auto"/>
          <w:sz w:val="30"/>
          <w:szCs w:val="30"/>
        </w:rPr>
        <w:sectPr>
          <w:pgSz w:w="11906" w:h="16838"/>
          <w:pgMar w:top="1440" w:right="1800" w:bottom="1440" w:left="1800" w:header="851" w:footer="992" w:gutter="0"/>
          <w:cols w:space="720" w:num="1"/>
          <w:docGrid w:type="lines" w:linePitch="312" w:charSpace="0"/>
        </w:sectPr>
      </w:pPr>
      <w:r>
        <w:rPr>
          <w:rFonts w:ascii="Times New Roman" w:hAnsi="Times New Roman" w:eastAsia="仿宋_GB2312" w:cs="Times New Roman"/>
          <w:color w:val="auto"/>
          <w:kern w:val="2"/>
          <w:sz w:val="30"/>
          <w:szCs w:val="30"/>
          <w:lang w:val="en-US" w:eastAsia="zh-CN" w:bidi="ar-SA"/>
        </w:rPr>
        <w:pict>
          <v:shape id="Straight Connector 93" o:spid="_x0000_s1030" type="#_x0000_t32" style="position:absolute;left:0;margin-left:236.5pt;margin-top:334.05pt;height:50.5pt;width:0.85pt;rotation:0f;z-index:251662336;"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Flowchart: Terminator 85" o:spid="_x0000_s1031" type="#_x0000_t116" style="position:absolute;left:0;margin-left:205.9pt;margin-top:384.55pt;height:53.55pt;width:180.85pt;rotation:0f;z-index:251663360;"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依法作出不予许可决定</w:t>
                  </w:r>
                </w:p>
              </w:txbxContent>
            </v:textbox>
          </v:shape>
        </w:pict>
      </w:r>
      <w:r>
        <w:rPr>
          <w:rFonts w:ascii="Times New Roman" w:hAnsi="Times New Roman" w:eastAsia="仿宋_GB2312" w:cs="Times New Roman"/>
          <w:color w:val="auto"/>
          <w:kern w:val="2"/>
          <w:sz w:val="30"/>
          <w:szCs w:val="30"/>
          <w:lang w:val="en-US" w:eastAsia="zh-CN" w:bidi="ar-SA"/>
        </w:rPr>
        <w:pict>
          <v:shape id="Flowchart: Terminator 86" o:spid="_x0000_s1032" type="#_x0000_t116" style="position:absolute;left:0;margin-left:0.15pt;margin-top:384.55pt;height:53.55pt;width:197.6pt;rotation:0f;z-index:251664384;"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予以许可</w:t>
                  </w:r>
                </w:p>
              </w:txbxContent>
            </v:textbox>
          </v:shape>
        </w:pict>
      </w:r>
      <w:r>
        <w:rPr>
          <w:rFonts w:ascii="Times New Roman" w:hAnsi="Times New Roman" w:eastAsia="仿宋_GB2312" w:cs="Times New Roman"/>
          <w:color w:val="auto"/>
          <w:kern w:val="2"/>
          <w:sz w:val="30"/>
          <w:szCs w:val="30"/>
          <w:lang w:val="en-US" w:eastAsia="zh-CN" w:bidi="ar-SA"/>
        </w:rPr>
        <w:pict>
          <v:shape id="Straight Connector 94" o:spid="_x0000_s1033" type="#_x0000_t32" style="position:absolute;left:0;margin-left:131.35pt;margin-top:339.3pt;height:45.25pt;width:0.05pt;rotation:0f;z-index:251665408;"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Straight Connector 89" o:spid="_x0000_s1034" type="#_x0000_t32" style="position:absolute;left:0;margin-left:93.35pt;margin-top:103.05pt;height:0.05pt;width:58.6pt;rotation:0f;z-index:251666432;"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Diamond 81" o:spid="_x0000_s1035" type="#_x0000_t4" style="position:absolute;left:0;margin-left:-44.2pt;margin-top:33.4pt;height:99.55pt;width:167pt;rotation:0f;z-index:251667456;"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接件并于5个工作日内作出是否受理决定</w:t>
                  </w:r>
                </w:p>
              </w:txbxContent>
            </v:textbox>
          </v:shape>
        </w:pict>
      </w:r>
      <w:r>
        <w:rPr>
          <w:rFonts w:ascii="Times New Roman" w:hAnsi="Times New Roman" w:eastAsia="仿宋_GB2312" w:cs="Times New Roman"/>
          <w:color w:val="auto"/>
          <w:kern w:val="2"/>
          <w:sz w:val="30"/>
          <w:szCs w:val="30"/>
          <w:lang w:val="en-US" w:eastAsia="zh-CN" w:bidi="ar-SA"/>
        </w:rPr>
        <w:pict>
          <v:shape id="Straight Connector 92" o:spid="_x0000_s1036" type="#_x0000_t32" style="position:absolute;left:0;margin-left:179.6pt;margin-top:231.3pt;height:36.1pt;width:0.05pt;rotation:0f;z-index:251668480;"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shape id="Diamond 97" o:spid="_x0000_s1037" type="#_x0000_t4" style="position:absolute;left:0;margin-left:97.9pt;margin-top:267.4pt;height:99.55pt;width:167pt;rotation:0f;z-index:251669504;"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
                  <w:pPr>
                    <w:ind w:firstLine="315" w:firstLineChars="150"/>
                  </w:pPr>
                  <w:r>
                    <w:rPr>
                      <w:rFonts w:hint="eastAsia"/>
                    </w:rPr>
                    <w:t>审查报批</w:t>
                  </w:r>
                </w:p>
              </w:txbxContent>
            </v:textbox>
          </v:shape>
        </w:pict>
      </w:r>
      <w:r>
        <w:rPr>
          <w:rFonts w:ascii="Times New Roman" w:hAnsi="Times New Roman" w:eastAsia="仿宋_GB2312" w:cs="Times New Roman"/>
          <w:color w:val="auto"/>
          <w:kern w:val="2"/>
          <w:sz w:val="30"/>
          <w:szCs w:val="30"/>
          <w:lang w:val="en-US" w:eastAsia="zh-CN" w:bidi="ar-SA"/>
        </w:rPr>
        <w:pict>
          <v:shape id="Straight Connector 95" o:spid="_x0000_s1038" type="#_x0000_t32" style="position:absolute;left:0;margin-left:40.6pt;margin-top:132.95pt;height:49.9pt;width:0.05pt;rotation:0f;z-index:251670528;"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rect id="Rectangle 82" o:spid="_x0000_s1039" style="position:absolute;left:0;margin-left:81.7pt;margin-top:174.45pt;height:56.85pt;width:210.9pt;rotation:0f;z-index:251671552;"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rPr>
                    <w:t>材料齐全的，依法予以受理</w:t>
                  </w:r>
                </w:p>
              </w:txbxContent>
            </v:textbox>
          </v:rect>
        </w:pict>
      </w:r>
      <w:r>
        <w:rPr>
          <w:rFonts w:ascii="Times New Roman" w:hAnsi="Times New Roman" w:eastAsia="仿宋_GB2312" w:cs="Times New Roman"/>
          <w:color w:val="auto"/>
          <w:kern w:val="2"/>
          <w:sz w:val="30"/>
          <w:szCs w:val="30"/>
          <w:lang w:val="en-US" w:eastAsia="zh-CN" w:bidi="ar-SA"/>
        </w:rPr>
        <w:pict>
          <v:shape id="Straight Connector 96" o:spid="_x0000_s1040" type="#_x0000_t32" style="position:absolute;left:0;margin-left:40.6pt;margin-top:182.85pt;height:0.05pt;width:41.1pt;rotation:0f;z-index:251672576;"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rect id="Rectangle 83" o:spid="_x0000_s1041" style="position:absolute;left:0;margin-left:151.95pt;margin-top:91.5pt;height:45.3pt;width:268.1pt;rotation:0f;z-index:251673600;"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rPr>
                    <w:t>依法不予受理的，作出不予受理决定，出具不予受理通知书</w:t>
                  </w:r>
                </w:p>
              </w:txbxContent>
            </v:textbox>
          </v:rect>
        </w:pict>
      </w:r>
      <w:r>
        <w:rPr>
          <w:rFonts w:ascii="Times New Roman" w:hAnsi="Times New Roman" w:eastAsia="仿宋_GB2312" w:cs="Times New Roman"/>
          <w:color w:val="auto"/>
          <w:kern w:val="2"/>
          <w:sz w:val="30"/>
          <w:szCs w:val="30"/>
          <w:lang w:val="en-US" w:eastAsia="zh-CN" w:bidi="ar-SA"/>
        </w:rPr>
        <w:pict>
          <v:shape id="Straight Connector 90" o:spid="_x0000_s1042" type="#_x0000_t32" style="position:absolute;left:0;flip:y;margin-left:345.35pt;margin-top:4.1pt;height:44.75pt;width:0.05pt;rotation:0f;z-index:251674624;"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color w:val="auto"/>
          <w:kern w:val="2"/>
          <w:sz w:val="30"/>
          <w:szCs w:val="30"/>
          <w:lang w:val="en-US" w:eastAsia="zh-CN" w:bidi="ar-SA"/>
        </w:rPr>
        <w:pict>
          <v:rect id="Rectangle 84" o:spid="_x0000_s1043" style="position:absolute;left:0;margin-left:151.95pt;margin-top:48.85pt;height:25pt;width:268.1pt;rotation:0f;z-index:251675648;" o:ole="f" fillcolor="#FFFFFF" filled="t" o:preferrelative="t" stroked="t" coordsize="21600,21600">
            <v:stroke color="#000000" color2="#FFFFFF" miterlimit="2"/>
            <v:imagedata gain="65536f" blacklevel="0f" gamma="0"/>
            <o:lock v:ext="edit" position="f" selection="f" grouping="f" rotation="f" cropping="f" text="f" aspectratio="f"/>
            <v:textbox>
              <w:txbxContent>
                <w:p>
                  <w:r>
                    <w:rPr>
                      <w:rFonts w:hint="eastAsia"/>
                    </w:rPr>
                    <w:t>材料不全或不符合法定形式的，一次性告知补正材料</w:t>
                  </w:r>
                </w:p>
              </w:txbxContent>
            </v:textbox>
          </v:rect>
        </w:pict>
      </w:r>
      <w:r>
        <w:rPr>
          <w:rFonts w:ascii="Times New Roman" w:hAnsi="Times New Roman" w:eastAsia="仿宋_GB2312" w:cs="Times New Roman"/>
          <w:color w:val="auto"/>
          <w:kern w:val="2"/>
          <w:sz w:val="30"/>
          <w:szCs w:val="30"/>
          <w:lang w:val="en-US" w:eastAsia="zh-CN" w:bidi="ar-SA"/>
        </w:rPr>
        <w:pict>
          <v:shape id="Straight Connector 88" o:spid="_x0000_s1044" type="#_x0000_t32" style="position:absolute;left:0;margin-left:93.35pt;margin-top:61.45pt;height:0.05pt;width:58.6pt;rotation:0f;z-index:251676672;"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p>
    <w:p>
      <w:pPr>
        <w:widowControl/>
        <w:spacing w:line="384" w:lineRule="auto"/>
        <w:jc w:val="left"/>
        <w:rPr>
          <w:rFonts w:hint="eastAsia"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30"/>
          <w:szCs w:val="30"/>
        </w:rPr>
        <w:t>附录二（材料示范文本）</w:t>
      </w:r>
    </w:p>
    <w:p>
      <w:pPr>
        <w:widowControl/>
        <w:spacing w:line="384" w:lineRule="auto"/>
        <w:jc w:val="left"/>
        <w:rPr>
          <w:rFonts w:ascii="Times New Roman" w:hAnsi="Times New Roman" w:eastAsia="仿宋_GB2312" w:cs="Times New Roman"/>
          <w:color w:val="auto"/>
          <w:kern w:val="0"/>
          <w:sz w:val="30"/>
          <w:szCs w:val="30"/>
        </w:rPr>
      </w:pPr>
    </w:p>
    <w:p>
      <w:pPr>
        <w:ind w:right="300"/>
        <w:jc w:val="center"/>
        <w:rPr>
          <w:rFonts w:ascii="Times New Roman" w:hAnsi="Times New Roman" w:eastAsia="黑体" w:cs="Times New Roman"/>
          <w:bCs/>
          <w:color w:val="auto"/>
          <w:kern w:val="0"/>
          <w:sz w:val="24"/>
          <w:szCs w:val="24"/>
        </w:rPr>
      </w:pPr>
      <w:r>
        <w:rPr>
          <w:rFonts w:ascii="Times New Roman" w:hAnsi="Times New Roman" w:eastAsia="黑体" w:cs="Times New Roman"/>
          <w:color w:val="auto"/>
          <w:kern w:val="0"/>
          <w:sz w:val="30"/>
          <w:szCs w:val="30"/>
        </w:rPr>
        <w:t>　　</w:t>
      </w:r>
      <w:r>
        <w:rPr>
          <w:rFonts w:ascii="Times New Roman" w:hAnsi="Times New Roman" w:eastAsia="黑体" w:cs="Times New Roman"/>
          <w:color w:val="auto"/>
          <w:kern w:val="0"/>
          <w:sz w:val="24"/>
          <w:szCs w:val="24"/>
        </w:rPr>
        <w:t>贸易外汇收支企业名录</w:t>
      </w:r>
      <w:r>
        <w:rPr>
          <w:rFonts w:ascii="Times New Roman" w:hAnsi="Times New Roman" w:eastAsia="黑体" w:cs="Times New Roman"/>
          <w:bCs/>
          <w:color w:val="auto"/>
          <w:kern w:val="0"/>
          <w:sz w:val="24"/>
          <w:szCs w:val="24"/>
        </w:rPr>
        <w:t>登记申请表</w:t>
      </w:r>
    </w:p>
    <w:p>
      <w:pPr>
        <w:ind w:right="300"/>
        <w:jc w:val="center"/>
        <w:rPr>
          <w:rFonts w:ascii="Times New Roman" w:hAnsi="Times New Roman" w:eastAsia="黑体" w:cs="Times New Roman"/>
          <w:b/>
          <w:bCs/>
          <w:color w:val="auto"/>
          <w:kern w:val="0"/>
          <w:sz w:val="24"/>
          <w:szCs w:val="24"/>
        </w:rPr>
      </w:pPr>
    </w:p>
    <w:p>
      <w:pPr>
        <w:spacing w:line="384" w:lineRule="auto"/>
        <w:ind w:right="301"/>
        <w:jc w:val="left"/>
        <w:rPr>
          <w:rFonts w:ascii="Times New Roman" w:hAnsi="Times New Roman" w:eastAsia="仿宋_GB2312" w:cs="Times New Roman"/>
          <w:color w:val="auto"/>
          <w:kern w:val="0"/>
          <w:sz w:val="24"/>
          <w:szCs w:val="24"/>
        </w:rPr>
      </w:pPr>
      <w:r>
        <w:rPr>
          <w:rFonts w:ascii="Times New Roman" w:hAnsi="Times New Roman" w:eastAsia="仿宋_GB2312" w:cs="Times New Roman"/>
          <w:bCs/>
          <w:color w:val="auto"/>
          <w:kern w:val="0"/>
          <w:sz w:val="24"/>
          <w:szCs w:val="24"/>
        </w:rPr>
        <w:t>国家外汇管理局XX分(支)局：</w:t>
      </w:r>
    </w:p>
    <w:p>
      <w:pPr>
        <w:spacing w:line="384" w:lineRule="auto"/>
        <w:ind w:right="-58" w:firstLine="480" w:firstLineChars="200"/>
        <w:jc w:val="left"/>
        <w:rPr>
          <w:rFonts w:ascii="Times New Roman" w:hAnsi="Times New Roman" w:eastAsia="仿宋_GB2312" w:cs="Times New Roman"/>
          <w:bCs/>
          <w:color w:val="auto"/>
          <w:kern w:val="0"/>
          <w:sz w:val="24"/>
          <w:szCs w:val="24"/>
        </w:rPr>
      </w:pPr>
      <w:r>
        <w:rPr>
          <w:rFonts w:ascii="Times New Roman" w:hAnsi="Times New Roman" w:eastAsia="仿宋_GB2312" w:cs="Times New Roman"/>
          <w:bCs/>
          <w:color w:val="auto"/>
          <w:kern w:val="0"/>
          <w:sz w:val="24"/>
          <w:szCs w:val="24"/>
        </w:rPr>
        <w:t>本企业因业务需要，申请加入“贸易外汇收支企业名录”。现根据《国家外汇管理局关于印发货物贸易外汇管理法规有关问题的通知》（汇发〔2012〕38号）及《国家外汇管理局关于印发〈经常项目外汇业务指引（2020年版）〉的通知》（汇发〔2020〕14号）要求填写相关信息并提交下列资料，请予以登记。本企业保证所提供的信息和资料真实无讹。</w:t>
      </w:r>
    </w:p>
    <w:p>
      <w:pPr>
        <w:spacing w:line="384" w:lineRule="auto"/>
        <w:ind w:right="301"/>
        <w:jc w:val="left"/>
        <w:rPr>
          <w:rFonts w:ascii="Times New Roman" w:hAnsi="Times New Roman" w:eastAsia="仿宋_GB2312" w:cs="Times New Roman"/>
          <w:bCs/>
          <w:color w:val="auto"/>
          <w:kern w:val="0"/>
          <w:sz w:val="24"/>
          <w:szCs w:val="24"/>
        </w:rPr>
      </w:pPr>
      <w:r>
        <w:rPr>
          <w:rFonts w:ascii="Times New Roman" w:hAnsi="Times New Roman" w:eastAsia="仿宋_GB2312" w:cs="Times New Roman"/>
          <w:bCs/>
          <w:color w:val="auto"/>
          <w:kern w:val="0"/>
          <w:sz w:val="24"/>
          <w:szCs w:val="24"/>
        </w:rPr>
        <w:t>□营业执照副本</w:t>
      </w:r>
    </w:p>
    <w:p>
      <w:pPr>
        <w:spacing w:line="384" w:lineRule="auto"/>
        <w:ind w:right="301"/>
        <w:jc w:val="left"/>
        <w:rPr>
          <w:rFonts w:ascii="Times New Roman" w:hAnsi="Times New Roman" w:eastAsia="仿宋_GB2312" w:cs="Times New Roman"/>
          <w:bCs/>
          <w:color w:val="auto"/>
          <w:kern w:val="0"/>
          <w:sz w:val="24"/>
          <w:szCs w:val="24"/>
        </w:rPr>
      </w:pPr>
      <w:r>
        <w:rPr>
          <w:rFonts w:ascii="Times New Roman" w:hAnsi="Times New Roman" w:eastAsia="仿宋_GB2312" w:cs="Times New Roman"/>
          <w:bCs/>
          <w:color w:val="auto"/>
          <w:kern w:val="0"/>
          <w:sz w:val="24"/>
          <w:szCs w:val="24"/>
        </w:rPr>
        <w:t>（注：以上资料需提供原件及加盖企业公章的复印件。）</w:t>
      </w:r>
    </w:p>
    <w:tbl>
      <w:tblPr>
        <w:tblStyle w:val="8"/>
        <w:tblW w:w="91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52"/>
        <w:gridCol w:w="1134"/>
        <w:gridCol w:w="1566"/>
        <w:gridCol w:w="277"/>
        <w:gridCol w:w="1134"/>
        <w:gridCol w:w="179"/>
        <w:gridCol w:w="1013"/>
        <w:gridCol w:w="509"/>
        <w:gridCol w:w="11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single" w:color="auto" w:sz="4" w:space="0"/>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统一社会用</w:t>
            </w:r>
          </w:p>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代码</w:t>
            </w:r>
          </w:p>
        </w:tc>
        <w:tc>
          <w:tcPr>
            <w:tcW w:w="2977" w:type="dxa"/>
            <w:gridSpan w:val="3"/>
            <w:tcBorders>
              <w:top w:val="single" w:color="auto" w:sz="4" w:space="0"/>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color w:val="auto"/>
                <w:kern w:val="0"/>
                <w:sz w:val="24"/>
                <w:szCs w:val="24"/>
              </w:rPr>
            </w:pPr>
          </w:p>
        </w:tc>
        <w:tc>
          <w:tcPr>
            <w:tcW w:w="2326" w:type="dxa"/>
            <w:gridSpan w:val="3"/>
            <w:tcBorders>
              <w:top w:val="single" w:color="auto" w:sz="4" w:space="0"/>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企业名称</w:t>
            </w:r>
          </w:p>
        </w:tc>
        <w:tc>
          <w:tcPr>
            <w:tcW w:w="1643" w:type="dxa"/>
            <w:gridSpan w:val="2"/>
            <w:tcBorders>
              <w:top w:val="single" w:color="auto" w:sz="4" w:space="0"/>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经济类型代码 及名称</w:t>
            </w:r>
          </w:p>
        </w:tc>
        <w:tc>
          <w:tcPr>
            <w:tcW w:w="2977" w:type="dxa"/>
            <w:gridSpan w:val="3"/>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c>
          <w:tcPr>
            <w:tcW w:w="2326"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行业类型代码</w:t>
            </w:r>
          </w:p>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及名称</w:t>
            </w:r>
          </w:p>
        </w:tc>
        <w:tc>
          <w:tcPr>
            <w:tcW w:w="1643" w:type="dxa"/>
            <w:gridSpan w:val="2"/>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4" w:hRule="atLeast"/>
          <w:jc w:val="center"/>
        </w:trPr>
        <w:tc>
          <w:tcPr>
            <w:tcW w:w="2252" w:type="dxa"/>
            <w:vMerge w:val="restart"/>
            <w:tcBorders>
              <w:top w:val="nil"/>
              <w:left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是否注册在海关特殊监管区域</w:t>
            </w:r>
          </w:p>
        </w:tc>
        <w:tc>
          <w:tcPr>
            <w:tcW w:w="2977" w:type="dxa"/>
            <w:gridSpan w:val="3"/>
            <w:tcBorders>
              <w:top w:val="single" w:color="auto" w:sz="4" w:space="0"/>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是，注明区域名称    　</w:t>
            </w:r>
          </w:p>
        </w:tc>
        <w:tc>
          <w:tcPr>
            <w:tcW w:w="3969" w:type="dxa"/>
            <w:gridSpan w:val="5"/>
            <w:tcBorders>
              <w:top w:val="single" w:color="auto" w:sz="4" w:space="0"/>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3" w:hRule="atLeast"/>
          <w:jc w:val="center"/>
        </w:trPr>
        <w:tc>
          <w:tcPr>
            <w:tcW w:w="2252" w:type="dxa"/>
            <w:vMerge w:val="continue"/>
            <w:tcBorders>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p>
        </w:tc>
        <w:tc>
          <w:tcPr>
            <w:tcW w:w="2977" w:type="dxa"/>
            <w:gridSpan w:val="3"/>
            <w:tcBorders>
              <w:top w:val="single" w:color="auto" w:sz="4" w:space="0"/>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lang w:val="en-US" w:eastAsia="zh-CN" w:bidi="ar-SA"/>
              </w:rPr>
              <w:pict>
                <v:shape id="Straight Connector 98" o:spid="_x0000_s1045" type="#_x0000_t32" style="position:absolute;left:0;flip:y;margin-left:142.45pt;margin-top:0.8pt;height:19.7pt;width:198.6pt;rotation:0f;z-index:251677696;"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imes New Roman" w:hAnsi="Times New Roman" w:eastAsia="仿宋_GB2312" w:cs="Times New Roman"/>
                <w:color w:val="auto"/>
                <w:kern w:val="0"/>
                <w:sz w:val="24"/>
                <w:szCs w:val="24"/>
              </w:rPr>
              <w:t>否</w:t>
            </w:r>
          </w:p>
        </w:tc>
        <w:tc>
          <w:tcPr>
            <w:tcW w:w="3969" w:type="dxa"/>
            <w:gridSpan w:val="5"/>
            <w:tcBorders>
              <w:top w:val="single" w:color="auto" w:sz="4" w:space="0"/>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是否海关进出口货物收发货人报关注册企业</w:t>
            </w:r>
          </w:p>
        </w:tc>
        <w:tc>
          <w:tcPr>
            <w:tcW w:w="2977"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      否</w:t>
            </w:r>
          </w:p>
        </w:tc>
        <w:tc>
          <w:tcPr>
            <w:tcW w:w="2326"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 xml:space="preserve">是否对外贸易 </w:t>
            </w:r>
          </w:p>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经营权企业</w:t>
            </w:r>
          </w:p>
        </w:tc>
        <w:tc>
          <w:tcPr>
            <w:tcW w:w="1643" w:type="dxa"/>
            <w:gridSpan w:val="2"/>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法定代表人姓名</w:t>
            </w:r>
          </w:p>
        </w:tc>
        <w:tc>
          <w:tcPr>
            <w:tcW w:w="2977" w:type="dxa"/>
            <w:gridSpan w:val="3"/>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c>
          <w:tcPr>
            <w:tcW w:w="2326"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法定代表人身份证/护照号码</w:t>
            </w:r>
          </w:p>
        </w:tc>
        <w:tc>
          <w:tcPr>
            <w:tcW w:w="1643" w:type="dxa"/>
            <w:gridSpan w:val="2"/>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外币注册币种</w:t>
            </w:r>
          </w:p>
        </w:tc>
        <w:tc>
          <w:tcPr>
            <w:tcW w:w="2977" w:type="dxa"/>
            <w:gridSpan w:val="3"/>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c>
          <w:tcPr>
            <w:tcW w:w="2326"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外币注册资金</w:t>
            </w:r>
          </w:p>
        </w:tc>
        <w:tc>
          <w:tcPr>
            <w:tcW w:w="1643" w:type="dxa"/>
            <w:gridSpan w:val="2"/>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人民币注册资金</w:t>
            </w:r>
          </w:p>
        </w:tc>
        <w:tc>
          <w:tcPr>
            <w:tcW w:w="2977" w:type="dxa"/>
            <w:gridSpan w:val="3"/>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c>
          <w:tcPr>
            <w:tcW w:w="2326"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成立日期</w:t>
            </w:r>
          </w:p>
        </w:tc>
        <w:tc>
          <w:tcPr>
            <w:tcW w:w="1643" w:type="dxa"/>
            <w:gridSpan w:val="2"/>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经营范围</w:t>
            </w:r>
          </w:p>
        </w:tc>
        <w:tc>
          <w:tcPr>
            <w:tcW w:w="6946" w:type="dxa"/>
            <w:gridSpan w:val="8"/>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企业地址</w:t>
            </w:r>
          </w:p>
        </w:tc>
        <w:tc>
          <w:tcPr>
            <w:tcW w:w="6946" w:type="dxa"/>
            <w:gridSpan w:val="8"/>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是否外贸综合服务企业</w:t>
            </w:r>
          </w:p>
        </w:tc>
        <w:tc>
          <w:tcPr>
            <w:tcW w:w="1134" w:type="dxa"/>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 否</w:t>
            </w:r>
          </w:p>
        </w:tc>
        <w:tc>
          <w:tcPr>
            <w:tcW w:w="1843" w:type="dxa"/>
            <w:gridSpan w:val="2"/>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是否市场采购贸易企业</w:t>
            </w:r>
          </w:p>
        </w:tc>
        <w:tc>
          <w:tcPr>
            <w:tcW w:w="1134" w:type="dxa"/>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 否</w:t>
            </w:r>
          </w:p>
        </w:tc>
        <w:tc>
          <w:tcPr>
            <w:tcW w:w="1701"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是否跨境电商平台</w:t>
            </w:r>
          </w:p>
        </w:tc>
        <w:tc>
          <w:tcPr>
            <w:tcW w:w="1134" w:type="dxa"/>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7" w:hRule="atLeast"/>
          <w:jc w:val="center"/>
        </w:trPr>
        <w:tc>
          <w:tcPr>
            <w:tcW w:w="3386" w:type="dxa"/>
            <w:gridSpan w:val="2"/>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是否商品现货交易所</w:t>
            </w:r>
          </w:p>
        </w:tc>
        <w:tc>
          <w:tcPr>
            <w:tcW w:w="1566" w:type="dxa"/>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   否</w:t>
            </w:r>
          </w:p>
        </w:tc>
        <w:tc>
          <w:tcPr>
            <w:tcW w:w="3112" w:type="dxa"/>
            <w:gridSpan w:val="5"/>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是否海外仓出口企业</w:t>
            </w:r>
          </w:p>
        </w:tc>
        <w:tc>
          <w:tcPr>
            <w:tcW w:w="1134" w:type="dxa"/>
            <w:tcBorders>
              <w:top w:val="nil"/>
              <w:left w:val="nil"/>
              <w:bottom w:val="single" w:color="auto" w:sz="4" w:space="0"/>
              <w:right w:val="single" w:color="auto" w:sz="4" w:space="0"/>
            </w:tcBorders>
            <w:shd w:val="clear" w:color="auto" w:fill="FFFFFF"/>
            <w:vAlign w:val="center"/>
          </w:tcPr>
          <w:p>
            <w:pPr>
              <w:ind w:right="300"/>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是 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邮编</w:t>
            </w:r>
          </w:p>
        </w:tc>
        <w:tc>
          <w:tcPr>
            <w:tcW w:w="2700" w:type="dxa"/>
            <w:gridSpan w:val="2"/>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c>
          <w:tcPr>
            <w:tcW w:w="1590"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电话</w:t>
            </w:r>
          </w:p>
        </w:tc>
        <w:tc>
          <w:tcPr>
            <w:tcW w:w="2656"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传真</w:t>
            </w:r>
          </w:p>
        </w:tc>
        <w:tc>
          <w:tcPr>
            <w:tcW w:w="2700" w:type="dxa"/>
            <w:gridSpan w:val="2"/>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c>
          <w:tcPr>
            <w:tcW w:w="1590"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电子邮箱</w:t>
            </w:r>
          </w:p>
        </w:tc>
        <w:tc>
          <w:tcPr>
            <w:tcW w:w="2656"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b/>
                <w:color w:val="auto"/>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jc w:val="center"/>
        </w:trPr>
        <w:tc>
          <w:tcPr>
            <w:tcW w:w="2252" w:type="dxa"/>
            <w:tcBorders>
              <w:top w:val="nil"/>
              <w:left w:val="single" w:color="auto" w:sz="4" w:space="0"/>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企业联系人</w:t>
            </w:r>
          </w:p>
        </w:tc>
        <w:tc>
          <w:tcPr>
            <w:tcW w:w="2700" w:type="dxa"/>
            <w:gridSpan w:val="2"/>
            <w:tcBorders>
              <w:top w:val="nil"/>
              <w:left w:val="nil"/>
              <w:bottom w:val="single" w:color="auto" w:sz="4" w:space="0"/>
              <w:right w:val="single" w:color="auto" w:sz="4" w:space="0"/>
            </w:tcBorders>
            <w:shd w:val="clear" w:color="auto" w:fill="FFFFFF"/>
            <w:vAlign w:val="center"/>
          </w:tcPr>
          <w:p>
            <w:pPr>
              <w:ind w:right="300"/>
              <w:jc w:val="left"/>
              <w:rPr>
                <w:rFonts w:ascii="Times New Roman" w:hAnsi="Times New Roman" w:eastAsia="仿宋_GB2312" w:cs="Times New Roman"/>
                <w:b/>
                <w:color w:val="auto"/>
                <w:kern w:val="0"/>
                <w:sz w:val="24"/>
                <w:szCs w:val="24"/>
              </w:rPr>
            </w:pPr>
          </w:p>
        </w:tc>
        <w:tc>
          <w:tcPr>
            <w:tcW w:w="1590"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手机</w:t>
            </w:r>
          </w:p>
        </w:tc>
        <w:tc>
          <w:tcPr>
            <w:tcW w:w="2656" w:type="dxa"/>
            <w:gridSpan w:val="3"/>
            <w:tcBorders>
              <w:top w:val="nil"/>
              <w:left w:val="nil"/>
              <w:bottom w:val="single" w:color="auto" w:sz="4" w:space="0"/>
              <w:right w:val="single" w:color="auto" w:sz="4" w:space="0"/>
            </w:tcBorders>
            <w:shd w:val="clear" w:color="auto" w:fill="FFFFFF"/>
            <w:vAlign w:val="center"/>
          </w:tcPr>
          <w:p>
            <w:pPr>
              <w:ind w:right="300"/>
              <w:jc w:val="center"/>
              <w:rPr>
                <w:rFonts w:ascii="Times New Roman" w:hAnsi="Times New Roman" w:eastAsia="仿宋_GB2312" w:cs="Times New Roman"/>
                <w:color w:val="auto"/>
                <w:kern w:val="0"/>
                <w:sz w:val="24"/>
                <w:szCs w:val="24"/>
              </w:rPr>
            </w:pPr>
          </w:p>
        </w:tc>
      </w:tr>
    </w:tbl>
    <w:p>
      <w:pPr>
        <w:spacing w:line="560" w:lineRule="exact"/>
        <w:ind w:right="301"/>
        <w:jc w:val="left"/>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 xml:space="preserve">    </w:t>
      </w:r>
    </w:p>
    <w:p>
      <w:pPr>
        <w:spacing w:line="560" w:lineRule="exact"/>
        <w:ind w:right="-58" w:firstLine="480" w:firstLineChars="200"/>
        <w:jc w:val="left"/>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本企业将认真学习并遵守贸易外汇管理法规规定，积极支持配合外汇局对贸易外汇收支业务的管理。依法从事对外贸易，接受并配合外汇局对本企业贸易外汇收支进行监督检查，及时、如实说明情况并提供相关单证资料；按规定进行相关的业务登记与报告；按照外汇局分类管理要求办理贸易外汇收支业务。</w:t>
      </w:r>
    </w:p>
    <w:p>
      <w:pPr>
        <w:spacing w:line="560" w:lineRule="exact"/>
        <w:ind w:right="301"/>
        <w:jc w:val="left"/>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 xml:space="preserve">                                    企业（公章）：</w:t>
      </w:r>
    </w:p>
    <w:p>
      <w:pPr>
        <w:spacing w:line="560" w:lineRule="exact"/>
        <w:ind w:right="301"/>
        <w:jc w:val="left"/>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 xml:space="preserve">                              法定代表人（签字）：</w:t>
      </w:r>
    </w:p>
    <w:p>
      <w:pPr>
        <w:spacing w:line="560" w:lineRule="exact"/>
        <w:ind w:right="301"/>
        <w:jc w:val="left"/>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 xml:space="preserve">                              申请日期：    年     月     日                              </w:t>
      </w:r>
    </w:p>
    <w:p>
      <w:pPr>
        <w:spacing w:line="560" w:lineRule="exact"/>
        <w:ind w:right="301"/>
        <w:jc w:val="left"/>
        <w:rPr>
          <w:rFonts w:ascii="Times New Roman" w:hAnsi="Times New Roman" w:eastAsia="仿宋_GB2312" w:cs="Times New Roman"/>
          <w:color w:val="auto"/>
          <w:kern w:val="0"/>
          <w:sz w:val="30"/>
          <w:szCs w:val="30"/>
        </w:rPr>
      </w:pPr>
    </w:p>
    <w:p>
      <w:pPr>
        <w:spacing w:line="560" w:lineRule="exact"/>
        <w:ind w:right="301"/>
        <w:jc w:val="left"/>
        <w:rPr>
          <w:rFonts w:ascii="Times New Roman" w:hAnsi="Times New Roman" w:eastAsia="仿宋_GB2312" w:cs="Times New Roman"/>
          <w:color w:val="auto"/>
          <w:kern w:val="0"/>
          <w:sz w:val="30"/>
          <w:szCs w:val="30"/>
        </w:rPr>
      </w:pPr>
    </w:p>
    <w:p>
      <w:pPr>
        <w:spacing w:line="560" w:lineRule="exact"/>
        <w:ind w:right="301"/>
        <w:jc w:val="left"/>
        <w:rPr>
          <w:rFonts w:ascii="Times New Roman" w:hAnsi="Times New Roman" w:eastAsia="仿宋_GB2312" w:cs="Times New Roman"/>
          <w:color w:val="auto"/>
          <w:kern w:val="0"/>
          <w:sz w:val="24"/>
          <w:szCs w:val="24"/>
        </w:rPr>
      </w:pPr>
    </w:p>
    <w:p>
      <w:pPr>
        <w:spacing w:line="560" w:lineRule="exact"/>
        <w:ind w:right="301"/>
        <w:jc w:val="left"/>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注意事项及填表说明：</w:t>
      </w:r>
    </w:p>
    <w:p>
      <w:pPr>
        <w:tabs>
          <w:tab w:val="left" w:pos="8222"/>
        </w:tabs>
        <w:spacing w:line="560" w:lineRule="exact"/>
        <w:ind w:right="84" w:firstLine="480" w:firstLineChars="200"/>
        <w:jc w:val="left"/>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请认真阅读下列填表说明，按要求填写相关事项，因填写不准确造成的后果自行承担：</w:t>
      </w:r>
    </w:p>
    <w:p>
      <w:pPr>
        <w:spacing w:line="560" w:lineRule="exact"/>
        <w:ind w:right="-58" w:firstLine="480" w:firstLineChars="200"/>
        <w:jc w:val="left"/>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1.经济类型代码及名称：按照“经济类型代码及名称表”内容选择其中一项填写（可参照营业执照填写）；</w:t>
      </w:r>
    </w:p>
    <w:p>
      <w:pPr>
        <w:spacing w:line="560" w:lineRule="exact"/>
        <w:ind w:right="-58" w:firstLine="480" w:firstLineChars="200"/>
        <w:jc w:val="left"/>
        <w:rPr>
          <w:rFonts w:ascii="Times New Roman" w:hAnsi="Times New Roman" w:eastAsia="仿宋_GB2312" w:cs="Times New Roman"/>
          <w:color w:val="auto"/>
          <w:kern w:val="0"/>
          <w:sz w:val="24"/>
          <w:szCs w:val="24"/>
        </w:rPr>
      </w:pPr>
      <w:r>
        <w:rPr>
          <w:rFonts w:ascii="Times New Roman" w:hAnsi="Times New Roman" w:eastAsia="仿宋_GB2312" w:cs="Times New Roman"/>
          <w:color w:val="auto"/>
          <w:kern w:val="0"/>
          <w:sz w:val="24"/>
          <w:szCs w:val="24"/>
        </w:rPr>
        <w:t>2.行业类型代码及名称：按照“行业类型代码及名称表”内容选择其中一项填写；</w:t>
      </w:r>
    </w:p>
    <w:p>
      <w:pPr>
        <w:spacing w:line="560" w:lineRule="exact"/>
        <w:ind w:right="-58" w:firstLine="480" w:firstLineChars="200"/>
        <w:jc w:val="left"/>
        <w:rPr>
          <w:rFonts w:ascii="Times New Roman" w:hAnsi="Times New Roman" w:eastAsia="仿宋_GB2312" w:cs="Times New Roman"/>
          <w:color w:val="auto"/>
          <w:kern w:val="0"/>
          <w:sz w:val="30"/>
          <w:szCs w:val="30"/>
        </w:rPr>
      </w:pPr>
      <w:r>
        <w:rPr>
          <w:rFonts w:ascii="Times New Roman" w:hAnsi="Times New Roman" w:eastAsia="仿宋_GB2312" w:cs="Times New Roman"/>
          <w:color w:val="auto"/>
          <w:kern w:val="0"/>
          <w:sz w:val="24"/>
          <w:szCs w:val="24"/>
        </w:rPr>
        <w:t>3.是否注册在海关特殊监管区域：海关特殊监管区域包括“保税区”、“出口加工区”、“保税物流园区”、“保税港区”、“综合保税区”等，填写是或否，并注明具体名称。</w:t>
      </w:r>
    </w:p>
    <w:p>
      <w:pPr>
        <w:ind w:right="300"/>
        <w:rPr>
          <w:rFonts w:ascii="Times New Roman" w:hAnsi="Times New Roman" w:cs="Times New Roman"/>
          <w:color w:val="auto"/>
        </w:rPr>
      </w:pPr>
    </w:p>
    <w:p>
      <w:pPr>
        <w:rPr>
          <w:rFonts w:ascii="Times New Roman" w:hAnsi="Times New Roman" w:cs="Times New Roman"/>
          <w:color w:val="auto"/>
        </w:rPr>
      </w:pPr>
    </w:p>
    <w:p>
      <w:pPr>
        <w:rPr>
          <w:rFonts w:ascii="Times New Roman" w:hAnsi="Times New Roman" w:cs="Times New Roman"/>
          <w:color w:val="auto"/>
        </w:rPr>
      </w:pPr>
    </w:p>
    <w:sectPr>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Noto Sans Mono CJK JP Regular">
    <w:altName w:val="微软雅黑"/>
    <w:panose1 w:val="00000000000000000000"/>
    <w:charset w:val="00"/>
    <w:family w:val="auto"/>
    <w:pitch w:val="default"/>
    <w:sig w:usb0="00000000" w:usb1="00000000" w:usb2="00000000"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jc w:val="center"/>
    </w:pPr>
    <w:r>
      <w:fldChar w:fldCharType="begin"/>
    </w:r>
    <w:r>
      <w:instrText xml:space="preserve"> PAGE   \* MERGEFORMAT </w:instrText>
    </w:r>
    <w:r>
      <w:fldChar w:fldCharType="separate"/>
    </w:r>
    <w:r>
      <w:rPr>
        <w:lang w:val="zh-CN"/>
      </w:rPr>
      <w:t>10</w:t>
    </w:r>
    <w:r>
      <w:rPr>
        <w:lang w:val="zh-CN"/>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jc w:val="center"/>
    </w:pPr>
    <w:r>
      <w:fldChar w:fldCharType="begin"/>
    </w:r>
    <w:r>
      <w:instrText xml:space="preserve"> PAGE   \* MERGEFORMAT </w:instrText>
    </w:r>
    <w:r>
      <w:fldChar w:fldCharType="separate"/>
    </w:r>
    <w:r>
      <w:rPr>
        <w:lang w:val="zh-CN"/>
      </w:rPr>
      <w:t>78</w:t>
    </w:r>
    <w:r>
      <w:rPr>
        <w:lang w:val="zh-CN"/>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jc w:val="center"/>
    </w:pPr>
    <w:r>
      <w:fldChar w:fldCharType="begin"/>
    </w:r>
    <w:r>
      <w:instrText xml:space="preserve"> PAGE   \* MERGEFORMAT </w:instrText>
    </w:r>
    <w:r>
      <w:fldChar w:fldCharType="separate"/>
    </w:r>
    <w:r>
      <w:rPr>
        <w:lang w:val="zh-CN"/>
      </w:rPr>
      <w:t>12</w:t>
    </w:r>
    <w:r>
      <w:rPr>
        <w:lang w:val="zh-CN"/>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08604934">
    <w:nsid w:val="5FE15D06"/>
    <w:multiLevelType w:val="singleLevel"/>
    <w:tmpl w:val="5FE15D06"/>
    <w:lvl w:ilvl="0" w:tentative="1">
      <w:start w:val="2"/>
      <w:numFmt w:val="decimal"/>
      <w:suff w:val="nothing"/>
      <w:lvlText w:val="%1."/>
      <w:lvlJc w:val="left"/>
    </w:lvl>
  </w:abstractNum>
  <w:num w:numId="1">
    <w:abstractNumId w:val="16086049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9B19B3"/>
    <w:rsid w:val="000003C0"/>
    <w:rsid w:val="000021D6"/>
    <w:rsid w:val="00004BD5"/>
    <w:rsid w:val="00007A67"/>
    <w:rsid w:val="00027E45"/>
    <w:rsid w:val="000351A4"/>
    <w:rsid w:val="00037A07"/>
    <w:rsid w:val="00042CB9"/>
    <w:rsid w:val="00050681"/>
    <w:rsid w:val="000566CF"/>
    <w:rsid w:val="000652D6"/>
    <w:rsid w:val="00070716"/>
    <w:rsid w:val="00097754"/>
    <w:rsid w:val="000D3467"/>
    <w:rsid w:val="000D3E0B"/>
    <w:rsid w:val="000D61BB"/>
    <w:rsid w:val="000E2AD6"/>
    <w:rsid w:val="000E2D98"/>
    <w:rsid w:val="000E5910"/>
    <w:rsid w:val="000F1C17"/>
    <w:rsid w:val="000F24B5"/>
    <w:rsid w:val="00102A7C"/>
    <w:rsid w:val="00106460"/>
    <w:rsid w:val="001156C5"/>
    <w:rsid w:val="00134BF3"/>
    <w:rsid w:val="00140DE8"/>
    <w:rsid w:val="001418D3"/>
    <w:rsid w:val="00154329"/>
    <w:rsid w:val="001557E5"/>
    <w:rsid w:val="00163202"/>
    <w:rsid w:val="001870AC"/>
    <w:rsid w:val="00193A89"/>
    <w:rsid w:val="00195B37"/>
    <w:rsid w:val="001A1E83"/>
    <w:rsid w:val="001A61DE"/>
    <w:rsid w:val="001C084E"/>
    <w:rsid w:val="001C2B84"/>
    <w:rsid w:val="001C3568"/>
    <w:rsid w:val="001C4BB1"/>
    <w:rsid w:val="001D095F"/>
    <w:rsid w:val="001D2DD9"/>
    <w:rsid w:val="001D325D"/>
    <w:rsid w:val="001D56F0"/>
    <w:rsid w:val="001D5C07"/>
    <w:rsid w:val="001E37D7"/>
    <w:rsid w:val="001F1B4B"/>
    <w:rsid w:val="001F2A75"/>
    <w:rsid w:val="00212F1A"/>
    <w:rsid w:val="00215F91"/>
    <w:rsid w:val="002178A9"/>
    <w:rsid w:val="002226D7"/>
    <w:rsid w:val="0023361F"/>
    <w:rsid w:val="00233CB8"/>
    <w:rsid w:val="00233F9E"/>
    <w:rsid w:val="00235C6D"/>
    <w:rsid w:val="002453CB"/>
    <w:rsid w:val="00253212"/>
    <w:rsid w:val="00254875"/>
    <w:rsid w:val="0025599E"/>
    <w:rsid w:val="0026037E"/>
    <w:rsid w:val="002654CB"/>
    <w:rsid w:val="00266E25"/>
    <w:rsid w:val="00273E50"/>
    <w:rsid w:val="0028237D"/>
    <w:rsid w:val="002A0834"/>
    <w:rsid w:val="002B0553"/>
    <w:rsid w:val="002B05F7"/>
    <w:rsid w:val="002B3F08"/>
    <w:rsid w:val="002B4E65"/>
    <w:rsid w:val="002C7EAF"/>
    <w:rsid w:val="002F2577"/>
    <w:rsid w:val="002F6202"/>
    <w:rsid w:val="0031062A"/>
    <w:rsid w:val="00316E50"/>
    <w:rsid w:val="00316F0E"/>
    <w:rsid w:val="00321272"/>
    <w:rsid w:val="00325547"/>
    <w:rsid w:val="00326B8C"/>
    <w:rsid w:val="003314E4"/>
    <w:rsid w:val="00331E1E"/>
    <w:rsid w:val="003371EB"/>
    <w:rsid w:val="0033746D"/>
    <w:rsid w:val="00337ED9"/>
    <w:rsid w:val="00345800"/>
    <w:rsid w:val="003508A5"/>
    <w:rsid w:val="00354A7C"/>
    <w:rsid w:val="00364BB9"/>
    <w:rsid w:val="00377012"/>
    <w:rsid w:val="00387FD0"/>
    <w:rsid w:val="00396CD5"/>
    <w:rsid w:val="003A1721"/>
    <w:rsid w:val="003A4630"/>
    <w:rsid w:val="003A496B"/>
    <w:rsid w:val="003B1325"/>
    <w:rsid w:val="003B6057"/>
    <w:rsid w:val="003C3480"/>
    <w:rsid w:val="003C5C1F"/>
    <w:rsid w:val="003D1EDA"/>
    <w:rsid w:val="003D1F9B"/>
    <w:rsid w:val="003D2BBB"/>
    <w:rsid w:val="003D3BB2"/>
    <w:rsid w:val="003D7B66"/>
    <w:rsid w:val="00404086"/>
    <w:rsid w:val="0040580D"/>
    <w:rsid w:val="00413782"/>
    <w:rsid w:val="00417C88"/>
    <w:rsid w:val="004311DF"/>
    <w:rsid w:val="00436919"/>
    <w:rsid w:val="00437717"/>
    <w:rsid w:val="0044021E"/>
    <w:rsid w:val="00445A64"/>
    <w:rsid w:val="0045411C"/>
    <w:rsid w:val="004573E4"/>
    <w:rsid w:val="00460C6A"/>
    <w:rsid w:val="00460F9A"/>
    <w:rsid w:val="00483315"/>
    <w:rsid w:val="00486995"/>
    <w:rsid w:val="00487956"/>
    <w:rsid w:val="004924A7"/>
    <w:rsid w:val="004935B2"/>
    <w:rsid w:val="00494124"/>
    <w:rsid w:val="00497EF0"/>
    <w:rsid w:val="00497FC6"/>
    <w:rsid w:val="004A0818"/>
    <w:rsid w:val="004A5600"/>
    <w:rsid w:val="004A6503"/>
    <w:rsid w:val="004B1BDA"/>
    <w:rsid w:val="004B29AE"/>
    <w:rsid w:val="004B3A9F"/>
    <w:rsid w:val="004C5477"/>
    <w:rsid w:val="004D3F83"/>
    <w:rsid w:val="004E4AD4"/>
    <w:rsid w:val="004E746C"/>
    <w:rsid w:val="004E7E2D"/>
    <w:rsid w:val="004F1B78"/>
    <w:rsid w:val="004F3F94"/>
    <w:rsid w:val="005062BC"/>
    <w:rsid w:val="00512742"/>
    <w:rsid w:val="00512786"/>
    <w:rsid w:val="00514ABC"/>
    <w:rsid w:val="005263C0"/>
    <w:rsid w:val="00544909"/>
    <w:rsid w:val="00551A5A"/>
    <w:rsid w:val="0056706F"/>
    <w:rsid w:val="00567128"/>
    <w:rsid w:val="005845DF"/>
    <w:rsid w:val="00584DF2"/>
    <w:rsid w:val="0058649D"/>
    <w:rsid w:val="00593352"/>
    <w:rsid w:val="00595487"/>
    <w:rsid w:val="005A32AB"/>
    <w:rsid w:val="005A3A70"/>
    <w:rsid w:val="005A61D4"/>
    <w:rsid w:val="005B322C"/>
    <w:rsid w:val="005C4A17"/>
    <w:rsid w:val="005E1F6F"/>
    <w:rsid w:val="005E6464"/>
    <w:rsid w:val="005F1522"/>
    <w:rsid w:val="005F1FAC"/>
    <w:rsid w:val="005F3C89"/>
    <w:rsid w:val="005F5952"/>
    <w:rsid w:val="006017F9"/>
    <w:rsid w:val="006025FB"/>
    <w:rsid w:val="00603617"/>
    <w:rsid w:val="0064768C"/>
    <w:rsid w:val="006509E6"/>
    <w:rsid w:val="00654AA7"/>
    <w:rsid w:val="006553EF"/>
    <w:rsid w:val="006603EC"/>
    <w:rsid w:val="00673F17"/>
    <w:rsid w:val="006847AE"/>
    <w:rsid w:val="006915F8"/>
    <w:rsid w:val="00696646"/>
    <w:rsid w:val="00696A7B"/>
    <w:rsid w:val="006B1D92"/>
    <w:rsid w:val="006B28AD"/>
    <w:rsid w:val="006B3076"/>
    <w:rsid w:val="006B5EF5"/>
    <w:rsid w:val="006B6370"/>
    <w:rsid w:val="006B71D2"/>
    <w:rsid w:val="006C4C39"/>
    <w:rsid w:val="006C6087"/>
    <w:rsid w:val="006D3427"/>
    <w:rsid w:val="006D43F5"/>
    <w:rsid w:val="006D6A5B"/>
    <w:rsid w:val="006E7C82"/>
    <w:rsid w:val="006F61C6"/>
    <w:rsid w:val="0071311B"/>
    <w:rsid w:val="007157B6"/>
    <w:rsid w:val="0072541C"/>
    <w:rsid w:val="0073340E"/>
    <w:rsid w:val="00735659"/>
    <w:rsid w:val="00735A28"/>
    <w:rsid w:val="007510E5"/>
    <w:rsid w:val="007544BC"/>
    <w:rsid w:val="007632A0"/>
    <w:rsid w:val="007634FF"/>
    <w:rsid w:val="0076451B"/>
    <w:rsid w:val="007704CD"/>
    <w:rsid w:val="0078686C"/>
    <w:rsid w:val="00787DF5"/>
    <w:rsid w:val="00795D93"/>
    <w:rsid w:val="007A1978"/>
    <w:rsid w:val="007B0E48"/>
    <w:rsid w:val="007B0EBE"/>
    <w:rsid w:val="007B6675"/>
    <w:rsid w:val="007C52A7"/>
    <w:rsid w:val="007E1D0E"/>
    <w:rsid w:val="007E7441"/>
    <w:rsid w:val="007F233E"/>
    <w:rsid w:val="0080044E"/>
    <w:rsid w:val="0081373A"/>
    <w:rsid w:val="00815287"/>
    <w:rsid w:val="00824D07"/>
    <w:rsid w:val="008269C3"/>
    <w:rsid w:val="00826F3F"/>
    <w:rsid w:val="00827911"/>
    <w:rsid w:val="00832D42"/>
    <w:rsid w:val="00833A95"/>
    <w:rsid w:val="00834DF4"/>
    <w:rsid w:val="00837990"/>
    <w:rsid w:val="00841DE9"/>
    <w:rsid w:val="00842C2F"/>
    <w:rsid w:val="008459E3"/>
    <w:rsid w:val="00846D5D"/>
    <w:rsid w:val="00864463"/>
    <w:rsid w:val="00865B37"/>
    <w:rsid w:val="00871300"/>
    <w:rsid w:val="00871BB2"/>
    <w:rsid w:val="0087457D"/>
    <w:rsid w:val="008767C3"/>
    <w:rsid w:val="00876926"/>
    <w:rsid w:val="008A09ED"/>
    <w:rsid w:val="008A0A76"/>
    <w:rsid w:val="008A53DB"/>
    <w:rsid w:val="008A6143"/>
    <w:rsid w:val="008A6DDB"/>
    <w:rsid w:val="008A6EEC"/>
    <w:rsid w:val="008B019D"/>
    <w:rsid w:val="008B3288"/>
    <w:rsid w:val="008B4359"/>
    <w:rsid w:val="008C33D3"/>
    <w:rsid w:val="008D3637"/>
    <w:rsid w:val="008E0D30"/>
    <w:rsid w:val="008E324F"/>
    <w:rsid w:val="008E57E6"/>
    <w:rsid w:val="008E6700"/>
    <w:rsid w:val="008F36D7"/>
    <w:rsid w:val="008F3E08"/>
    <w:rsid w:val="008F5475"/>
    <w:rsid w:val="008F5F4C"/>
    <w:rsid w:val="008F7955"/>
    <w:rsid w:val="00916523"/>
    <w:rsid w:val="009245CA"/>
    <w:rsid w:val="009347F8"/>
    <w:rsid w:val="009379DE"/>
    <w:rsid w:val="009516B1"/>
    <w:rsid w:val="00960764"/>
    <w:rsid w:val="009640DB"/>
    <w:rsid w:val="00966422"/>
    <w:rsid w:val="00970C40"/>
    <w:rsid w:val="00976900"/>
    <w:rsid w:val="00977A16"/>
    <w:rsid w:val="00981057"/>
    <w:rsid w:val="00984619"/>
    <w:rsid w:val="009849B6"/>
    <w:rsid w:val="00985C45"/>
    <w:rsid w:val="00986690"/>
    <w:rsid w:val="0098731F"/>
    <w:rsid w:val="009976AB"/>
    <w:rsid w:val="009A32EE"/>
    <w:rsid w:val="009B0566"/>
    <w:rsid w:val="009B19B3"/>
    <w:rsid w:val="009D2CA3"/>
    <w:rsid w:val="009D7865"/>
    <w:rsid w:val="00A011E0"/>
    <w:rsid w:val="00A019DC"/>
    <w:rsid w:val="00A037BB"/>
    <w:rsid w:val="00A053EC"/>
    <w:rsid w:val="00A20682"/>
    <w:rsid w:val="00A20869"/>
    <w:rsid w:val="00A21B4B"/>
    <w:rsid w:val="00A23CC9"/>
    <w:rsid w:val="00A31120"/>
    <w:rsid w:val="00A31633"/>
    <w:rsid w:val="00A333A8"/>
    <w:rsid w:val="00A33C4E"/>
    <w:rsid w:val="00A41AC7"/>
    <w:rsid w:val="00A42BA0"/>
    <w:rsid w:val="00A437F1"/>
    <w:rsid w:val="00A4638A"/>
    <w:rsid w:val="00A525DF"/>
    <w:rsid w:val="00A56380"/>
    <w:rsid w:val="00A724BB"/>
    <w:rsid w:val="00A76F2C"/>
    <w:rsid w:val="00A828DC"/>
    <w:rsid w:val="00A85917"/>
    <w:rsid w:val="00AA2782"/>
    <w:rsid w:val="00AB1454"/>
    <w:rsid w:val="00AD6356"/>
    <w:rsid w:val="00AD7F95"/>
    <w:rsid w:val="00AE12B8"/>
    <w:rsid w:val="00AE1454"/>
    <w:rsid w:val="00AE1E55"/>
    <w:rsid w:val="00AF3753"/>
    <w:rsid w:val="00AF57E1"/>
    <w:rsid w:val="00AF7A76"/>
    <w:rsid w:val="00B03FA1"/>
    <w:rsid w:val="00B063D5"/>
    <w:rsid w:val="00B11981"/>
    <w:rsid w:val="00B14564"/>
    <w:rsid w:val="00B150F1"/>
    <w:rsid w:val="00B1706B"/>
    <w:rsid w:val="00B241DC"/>
    <w:rsid w:val="00B24922"/>
    <w:rsid w:val="00B327C8"/>
    <w:rsid w:val="00B33C17"/>
    <w:rsid w:val="00B35ADB"/>
    <w:rsid w:val="00B370B4"/>
    <w:rsid w:val="00B37501"/>
    <w:rsid w:val="00B44E28"/>
    <w:rsid w:val="00B525C6"/>
    <w:rsid w:val="00B61130"/>
    <w:rsid w:val="00B614A1"/>
    <w:rsid w:val="00B73A28"/>
    <w:rsid w:val="00B82A11"/>
    <w:rsid w:val="00B84802"/>
    <w:rsid w:val="00B87216"/>
    <w:rsid w:val="00B9241E"/>
    <w:rsid w:val="00B94AEF"/>
    <w:rsid w:val="00BA4EC0"/>
    <w:rsid w:val="00BA5B48"/>
    <w:rsid w:val="00BB3C0B"/>
    <w:rsid w:val="00BB6FB7"/>
    <w:rsid w:val="00BB71AE"/>
    <w:rsid w:val="00BD1960"/>
    <w:rsid w:val="00BE14A9"/>
    <w:rsid w:val="00BE47E8"/>
    <w:rsid w:val="00BF58A4"/>
    <w:rsid w:val="00BF69EA"/>
    <w:rsid w:val="00C01288"/>
    <w:rsid w:val="00C01AFF"/>
    <w:rsid w:val="00C15924"/>
    <w:rsid w:val="00C20EC9"/>
    <w:rsid w:val="00C266D2"/>
    <w:rsid w:val="00C26BC0"/>
    <w:rsid w:val="00C31ECE"/>
    <w:rsid w:val="00C34F82"/>
    <w:rsid w:val="00C4111F"/>
    <w:rsid w:val="00C5180B"/>
    <w:rsid w:val="00C545CE"/>
    <w:rsid w:val="00C5521A"/>
    <w:rsid w:val="00C57574"/>
    <w:rsid w:val="00C659B4"/>
    <w:rsid w:val="00C66EDA"/>
    <w:rsid w:val="00C71261"/>
    <w:rsid w:val="00C85446"/>
    <w:rsid w:val="00C903FE"/>
    <w:rsid w:val="00C90E8C"/>
    <w:rsid w:val="00CA4D41"/>
    <w:rsid w:val="00CA5928"/>
    <w:rsid w:val="00CB049A"/>
    <w:rsid w:val="00CB1ED8"/>
    <w:rsid w:val="00CB751C"/>
    <w:rsid w:val="00CC02F5"/>
    <w:rsid w:val="00CC2FE6"/>
    <w:rsid w:val="00CD6F3B"/>
    <w:rsid w:val="00CE1482"/>
    <w:rsid w:val="00CE55F6"/>
    <w:rsid w:val="00CF249D"/>
    <w:rsid w:val="00CF62DA"/>
    <w:rsid w:val="00D007CE"/>
    <w:rsid w:val="00D01106"/>
    <w:rsid w:val="00D07C35"/>
    <w:rsid w:val="00D143B3"/>
    <w:rsid w:val="00D16C12"/>
    <w:rsid w:val="00D224E4"/>
    <w:rsid w:val="00D3006E"/>
    <w:rsid w:val="00D327EC"/>
    <w:rsid w:val="00D3615F"/>
    <w:rsid w:val="00D402BA"/>
    <w:rsid w:val="00D408D0"/>
    <w:rsid w:val="00D55E8C"/>
    <w:rsid w:val="00D71D4B"/>
    <w:rsid w:val="00D74ED6"/>
    <w:rsid w:val="00D80592"/>
    <w:rsid w:val="00D81AB8"/>
    <w:rsid w:val="00D85E50"/>
    <w:rsid w:val="00D92ED1"/>
    <w:rsid w:val="00DA5B01"/>
    <w:rsid w:val="00DB2D9A"/>
    <w:rsid w:val="00DD4792"/>
    <w:rsid w:val="00DD6A30"/>
    <w:rsid w:val="00DE6385"/>
    <w:rsid w:val="00DE791B"/>
    <w:rsid w:val="00DF15BD"/>
    <w:rsid w:val="00DF7356"/>
    <w:rsid w:val="00E02AE9"/>
    <w:rsid w:val="00E049C8"/>
    <w:rsid w:val="00E129F8"/>
    <w:rsid w:val="00E144BB"/>
    <w:rsid w:val="00E27EE9"/>
    <w:rsid w:val="00E30DEB"/>
    <w:rsid w:val="00E33EFE"/>
    <w:rsid w:val="00E34D6A"/>
    <w:rsid w:val="00E430A6"/>
    <w:rsid w:val="00E46A26"/>
    <w:rsid w:val="00E505E0"/>
    <w:rsid w:val="00E61CED"/>
    <w:rsid w:val="00E75B2F"/>
    <w:rsid w:val="00E77119"/>
    <w:rsid w:val="00E955CC"/>
    <w:rsid w:val="00EA2A2D"/>
    <w:rsid w:val="00EA3634"/>
    <w:rsid w:val="00EA5CDF"/>
    <w:rsid w:val="00EA6B80"/>
    <w:rsid w:val="00EB156E"/>
    <w:rsid w:val="00EB574D"/>
    <w:rsid w:val="00EB6DFA"/>
    <w:rsid w:val="00EC0133"/>
    <w:rsid w:val="00EC36EB"/>
    <w:rsid w:val="00EC7A79"/>
    <w:rsid w:val="00ED3C09"/>
    <w:rsid w:val="00EE1E1E"/>
    <w:rsid w:val="00EE29F0"/>
    <w:rsid w:val="00EE36F3"/>
    <w:rsid w:val="00EE520B"/>
    <w:rsid w:val="00EE69DD"/>
    <w:rsid w:val="00EF5BC8"/>
    <w:rsid w:val="00F005E2"/>
    <w:rsid w:val="00F03C4E"/>
    <w:rsid w:val="00F10FD7"/>
    <w:rsid w:val="00F16F75"/>
    <w:rsid w:val="00F201F4"/>
    <w:rsid w:val="00F21D92"/>
    <w:rsid w:val="00F32657"/>
    <w:rsid w:val="00F36247"/>
    <w:rsid w:val="00F405D0"/>
    <w:rsid w:val="00F4072A"/>
    <w:rsid w:val="00F416D6"/>
    <w:rsid w:val="00F424E1"/>
    <w:rsid w:val="00F45FB3"/>
    <w:rsid w:val="00F50CE9"/>
    <w:rsid w:val="00F52218"/>
    <w:rsid w:val="00F53245"/>
    <w:rsid w:val="00F5552D"/>
    <w:rsid w:val="00F61D32"/>
    <w:rsid w:val="00F622F9"/>
    <w:rsid w:val="00F62A8B"/>
    <w:rsid w:val="00F6439F"/>
    <w:rsid w:val="00F7441C"/>
    <w:rsid w:val="00F8030E"/>
    <w:rsid w:val="00F8305D"/>
    <w:rsid w:val="00F85E60"/>
    <w:rsid w:val="00F87754"/>
    <w:rsid w:val="00F90543"/>
    <w:rsid w:val="00F9406A"/>
    <w:rsid w:val="00FA48B7"/>
    <w:rsid w:val="00FB3C44"/>
    <w:rsid w:val="00FC6843"/>
    <w:rsid w:val="00FC754C"/>
    <w:rsid w:val="00FD19D2"/>
    <w:rsid w:val="00FE153C"/>
    <w:rsid w:val="00FF083E"/>
    <w:rsid w:val="00FF35CC"/>
    <w:rsid w:val="1B4605F0"/>
    <w:rsid w:val="260C0B2B"/>
    <w:rsid w:val="27A32BC7"/>
    <w:rsid w:val="58F63811"/>
    <w:rsid w:val="5C063034"/>
    <w:rsid w:val="61D31497"/>
    <w:rsid w:val="694B616D"/>
    <w:rsid w:val="73CF7E54"/>
    <w:rsid w:val="77031DCE"/>
    <w:rsid w:val="7C2A2E39"/>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Straight Connector 87"/>
        <o:r id="V:Rule2" type="connector" idref="#Straight Connector 91"/>
        <o:r id="V:Rule3" type="connector" idref="#Straight Connector 93"/>
        <o:r id="V:Rule4" type="connector" idref="#Straight Connector 94"/>
        <o:r id="V:Rule5" type="connector" idref="#Straight Connector 89"/>
        <o:r id="V:Rule6" type="connector" idref="#Straight Connector 92"/>
        <o:r id="V:Rule7" type="connector" idref="#Straight Connector 95"/>
        <o:r id="V:Rule8" type="connector" idref="#Straight Connector 96"/>
        <o:r id="V:Rule9" type="connector" idref="#Straight Connector 90"/>
        <o:r id="V:Rule10" type="connector" idref="#Straight Connector 88"/>
        <o:r id="V:Rule11" type="connector" idref="#Straight Connector 98"/>
      </o:rules>
    </o:shapelayout>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Style w:val="8"/>
      <w:tblLayout w:type="fixed"/>
      <w:tblCellMar>
        <w:top w:w="0" w:type="dxa"/>
        <w:left w:w="108" w:type="dxa"/>
        <w:bottom w:w="0" w:type="dxa"/>
        <w:right w:w="108" w:type="dxa"/>
      </w:tblCellMar>
    </w:tblPr>
    <w:tcPr>
      <w:textDirection w:val="lrTb"/>
    </w:tcPr>
  </w:style>
  <w:style w:type="paragraph" w:styleId="2">
    <w:name w:val="Body Text"/>
    <w:basedOn w:val="1"/>
    <w:unhideWhenUsed/>
    <w:uiPriority w:val="99"/>
    <w:pPr>
      <w:ind w:left="1360"/>
    </w:pPr>
    <w:rPr>
      <w:sz w:val="30"/>
      <w:szCs w:val="30"/>
    </w:rPr>
  </w:style>
  <w:style w:type="paragraph" w:styleId="3">
    <w:name w:val="Balloon Text"/>
    <w:basedOn w:val="1"/>
    <w:link w:val="15"/>
    <w:unhideWhenUsed/>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000FF"/>
      <w:u w:val="single"/>
    </w:rPr>
  </w:style>
  <w:style w:type="table" w:styleId="9">
    <w:name w:val="Table Grid"/>
    <w:basedOn w:val="8"/>
    <w:uiPriority w:val="59"/>
    <w:pPr/>
    <w:tblPr>
      <w:tblStyle w:val="8"/>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0">
    <w:name w:val="List Paragraph"/>
    <w:basedOn w:val="1"/>
    <w:qFormat/>
    <w:uiPriority w:val="34"/>
    <w:pPr>
      <w:ind w:firstLine="420" w:firstLineChars="200"/>
    </w:pPr>
  </w:style>
  <w:style w:type="paragraph" w:customStyle="1" w:styleId="11">
    <w:name w:val="Revision"/>
    <w:hidden/>
    <w:semiHidden/>
    <w:uiPriority w:val="99"/>
    <w:rPr>
      <w:rFonts w:ascii="Calibri" w:hAnsi="Calibri" w:eastAsia="宋体" w:cs="黑体"/>
      <w:kern w:val="2"/>
      <w:sz w:val="21"/>
      <w:szCs w:val="22"/>
      <w:lang w:val="en-US" w:eastAsia="zh-CN" w:bidi="ar-SA"/>
    </w:rPr>
  </w:style>
  <w:style w:type="paragraph" w:customStyle="1" w:styleId="12">
    <w:name w:val="Heading 1"/>
    <w:basedOn w:val="1"/>
    <w:qFormat/>
    <w:uiPriority w:val="1"/>
    <w:pPr>
      <w:spacing w:line="541" w:lineRule="exact"/>
      <w:ind w:left="1919" w:right="2017"/>
      <w:jc w:val="center"/>
      <w:outlineLvl w:val="1"/>
    </w:pPr>
    <w:rPr>
      <w:rFonts w:ascii="Noto Sans Mono CJK JP Regular" w:hAnsi="Noto Sans Mono CJK JP Regular" w:eastAsia="Noto Sans Mono CJK JP Regular" w:cs="Noto Sans Mono CJK JP Regular"/>
      <w:sz w:val="36"/>
      <w:szCs w:val="36"/>
    </w:rPr>
  </w:style>
  <w:style w:type="character" w:customStyle="1" w:styleId="13">
    <w:name w:val="页眉 Char"/>
    <w:basedOn w:val="6"/>
    <w:link w:val="5"/>
    <w:uiPriority w:val="99"/>
    <w:rPr>
      <w:sz w:val="18"/>
      <w:szCs w:val="18"/>
    </w:rPr>
  </w:style>
  <w:style w:type="character" w:customStyle="1" w:styleId="14">
    <w:name w:val="页脚 Char"/>
    <w:basedOn w:val="6"/>
    <w:link w:val="4"/>
    <w:uiPriority w:val="99"/>
    <w:rPr>
      <w:sz w:val="18"/>
      <w:szCs w:val="18"/>
    </w:rPr>
  </w:style>
  <w:style w:type="character" w:customStyle="1" w:styleId="15">
    <w:name w:val="批注框文本 Char"/>
    <w:basedOn w:val="6"/>
    <w:link w:val="3"/>
    <w:semiHidden/>
    <w:uiPriority w:val="99"/>
    <w:rPr>
      <w:sz w:val="18"/>
      <w:szCs w:val="18"/>
    </w:rPr>
  </w:style>
  <w:style w:type="character" w:customStyle="1" w:styleId="16">
    <w:name w:val="mini-outputtext"/>
    <w:basedOn w:val="6"/>
    <w:uiPriority w:val="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706</Words>
  <Characters>4028</Characters>
  <Lines>33</Lines>
  <Paragraphs>9</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2020-04-22T08:12:00Z</dcterms:created>
  <dc:creator>吴</dc:creator>
  <cp:lastModifiedBy>丁蒙/办公室/南宁/PBC</cp:lastModifiedBy>
  <cp:lastPrinted>2020-05-08T08:38:00Z</cp:lastPrinted>
  <dcterms:modified xsi:type="dcterms:W3CDTF">2022-07-01T00:57:21Z</dcterms:modified>
  <dc:title>编号：57001-1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